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1.001939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đóng, cấp thẻ BHYT đối với người chỉ tham gia BHYT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Thu BHXH, BHYT, BHTN, BH tai nạn lao động, BNN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Lập, nộp hồ sơ</w:t>
      </w:r>
    </w:p>
    <w:p>
      <w:pPr>
        <w:spacing w:after="0" w:before="0" w:lineRule="auto" w:line="276"/>
        <w:jc w:val="both"/>
      </w:pPr>
      <w:r>
        <w:rPr>
          <w:rFonts w:ascii="Times New Roman" w:hAnsi="Times New Roman" w:cs="Times New Roman" w:eastAsia="Times New Roman"/>
          <w:b w:val="false"/>
          <w:sz w:val="26"/>
        </w:rPr>
        <w:t>1. Người tham gia lập hồ sơ theo quy định tại tiết 1 mục Thành phần hồ sơ
a) Đối với người tham gia do tổ chức BHXH đóng BHYT: Nộp hồ sơ cho UBND xã hoặc cho cơ quan BHXH. Đối với người đang hưởng trợ cấp thất nghiệp: nộp hồ sơ cho cơ quan BHXH.
b) Đối với người tham gia do ngân sách nhà nước đóng, (hỗ trợ 100% mức đóng BHYT): Nộp hồ sơ cho UBND xã. Trừ các trường hợp:
- Người tham gia đã hiến bộ phận cơ thể người: nộp hồ sơ cho cơ quan BHXH;
- Người tham gia do cơ quan, đơn vị quản lý: nộp hồ sơ cho đơn vị quản lý đối tượng.
c) Đối với người được ngân sách nhà nước hỗ trợ một phần mức đóng BHYT: 
- Trường hợp nộp hồ sơ cho Tổ chức dịch vụ hoặc cơ quan BHXH: Lập hồ sơ theo quy định tại tiết 1.1 điểm 1 Mục Thành phần hồ sơ và nộp cho tổ chức dịch vụ hoặc cơ quan BHXH.
- Trường hợp nộp qua Cổng Dịch vụ công: Lập hồ sơ theo quy định tại tiết 1.2 điểm 1 Mục Thành phần hồ sơ và nộp trực tuyến trên Cổng Dịch vụ công.
- Học sinh, sinh viên: Nộp hồ sơ cho cơ sở giáo dục.
d) Người tham gia BHYT theo hộ gia đình: 
- Trường hợp nộp hồ sơ cho Tổ chức dịch vụ hoặc cơ quan BHXH: Lập hồ sơ theo quy định tại tiết 1.1 điểm 1 Mục Thành phần hồ sơ và nộp cho tổ chức dịch vụ hoặc cơ quan BHXH trên toàn quốc.
- Trường hợp nộp qua Cổng Dịch vụ công: Lập hồ sơ theo quy định tại tiết 1.2 điểm 1 Mục Thành phần hồ sơ và nộp trực tuyến trên Cổng Dịch vụ công.</w:t>
      </w:r>
    </w:p>
    <w:p>
      <w:pPr>
        <w:spacing w:after="0" w:before="0" w:lineRule="auto" w:line="276"/>
        <w:jc w:val="both"/>
      </w:pPr>
      <w:r>
        <w:rPr>
          <w:rFonts w:ascii="Times New Roman" w:hAnsi="Times New Roman" w:cs="Times New Roman" w:eastAsia="Times New Roman"/>
          <w:b w:val="false"/>
          <w:sz w:val="26"/>
        </w:rPr>
        <w:t>2. Đối với UBND xã: Nhận hồ sơ của người tham gia, lập hồ sơ theo quy định tại tiết 2 mục Thành phần hồ sơ và nộp hồ sơ như sau:
a) Đối với người tham gia do tổ chức BHXH đóng: Nộp cho cơ quan BHXH.
b) Đối với người tham gia do Bộ Lao động - Thương binh và Xã hội quản lý: nộp cho cơ quan Lao động - Thương binh và xã hội và cơ quan BHXH cấp huyện. 
c) Các đối tượng còn lại nộp cho cơ quan BHXH.</w:t>
      </w:r>
    </w:p>
    <w:p>
      <w:pPr>
        <w:spacing w:after="0" w:before="0" w:lineRule="auto" w:line="276"/>
        <w:jc w:val="both"/>
      </w:pPr>
      <w:r>
        <w:rPr>
          <w:rFonts w:ascii="Times New Roman" w:hAnsi="Times New Roman" w:cs="Times New Roman" w:eastAsia="Times New Roman"/>
          <w:b w:val="false"/>
          <w:sz w:val="26"/>
        </w:rPr>
        <w:t>3. Cơ quan Lao động - Thương binh và xã hội: Nhận hồ sơ do UBND xã gửi đến, phối hợp với cơ quan BHXH rà soát, kiểm tra, đối chiếu, xác nhận số người tham gia, số tiền phải đóng của từng nhóm đối tượng.</w:t>
      </w:r>
    </w:p>
    <w:p>
      <w:pPr>
        <w:spacing w:after="0" w:before="0" w:lineRule="auto" w:line="276"/>
        <w:jc w:val="both"/>
      </w:pPr>
      <w:r>
        <w:rPr>
          <w:rFonts w:ascii="Times New Roman" w:hAnsi="Times New Roman" w:cs="Times New Roman" w:eastAsia="Times New Roman"/>
          <w:b w:val="false"/>
          <w:sz w:val="26"/>
        </w:rPr>
        <w:t>4. Cơ sở trợ giúp xã hội/Cơ sở nuôi dưỡng, điều dưỡng thương binh và người có công/Cơ sở giáo dục nghề nghiệp thuộc ngành Lao động - Thương binh và xã hội/cơ quan/đơn vị quản lý người chỉ tham gia BHYT: Nhận hồ sơ của người tham gia, lập hồ sơ theo quy định tại tiết 2 mục Thành phần hồ sơ và nộp cho cơ quan BHXH.</w:t>
      </w:r>
    </w:p>
    <w:p>
      <w:pPr>
        <w:spacing w:after="0" w:before="0" w:lineRule="auto" w:line="276"/>
        <w:jc w:val="both"/>
      </w:pPr>
      <w:r>
        <w:rPr>
          <w:rFonts w:ascii="Times New Roman" w:hAnsi="Times New Roman" w:cs="Times New Roman" w:eastAsia="Times New Roman"/>
          <w:b w:val="false"/>
          <w:sz w:val="26"/>
        </w:rPr>
        <w:t>5. Tổ chức dịch vụ: Nhận hồ sơ của người tham gia, thu tiền đóng thuộc trách nhiệm đóng của người tham gia BHYT và lập hồ sơ theo quy định tiết 2 mục Thành phần hồ sơ, nộp cho cơ quan BHXH.</w:t>
      </w:r>
    </w:p>
    <w:p>
      <w:pPr>
        <w:spacing w:after="0" w:before="0" w:lineRule="auto" w:line="276"/>
        <w:jc w:val="both"/>
      </w:pPr>
      <w:r>
        <w:rPr>
          <w:rFonts w:ascii="Times New Roman" w:hAnsi="Times New Roman" w:cs="Times New Roman" w:eastAsia="Times New Roman"/>
          <w:b w:val="false"/>
          <w:sz w:val="26"/>
        </w:rPr>
        <w:t>6. Cơ sở giáo dục: Nhận hồ sơ của học sinh, sinh viên, thu tiền đóng BHYT thuộc trách nhiệm đóng của học sinh, sinh viên; lập hồ sơ theo quy định tại tiết 2 mục Thành phần hồ sơ và nộp cho cơ quan BHXH.</w:t>
      </w:r>
    </w:p>
    <w:p>
      <w:pPr>
        <w:spacing w:after="0" w:before="0" w:lineRule="auto" w:line="276"/>
        <w:jc w:val="both"/>
      </w:pPr>
      <w:r>
        <w:rPr>
          <w:rFonts w:ascii="Times New Roman" w:hAnsi="Times New Roman" w:cs="Times New Roman" w:eastAsia="Times New Roman"/>
          <w:b w:val="false"/>
          <w:sz w:val="26"/>
        </w:rPr>
        <w:t>7. Phòng/Tổ chế độ BHXH: Nhận hồ sơ của người tham gia BHYT do tổ chức BHXH đóng (kể cả đối tượng đang chờ ban hành quyết định hưởng hưu trí) từ Bộ phận một cửa; lập hồ sơ theo quy định tại tiết 3 mục Thành phần hồ sơ chuyển cho Phòng/Tổ Quản lý Thu - Sổ, Thẻ</w:t>
      </w:r>
    </w:p>
    <w:p>
      <w:pPr>
        <w:spacing w:after="0" w:before="0" w:lineRule="auto" w:line="276"/>
        <w:jc w:val="both"/>
      </w:pPr>
      <w:r>
        <w:rPr>
          <w:rFonts w:ascii="Times New Roman" w:hAnsi="Times New Roman" w:cs="Times New Roman" w:eastAsia="Times New Roman"/>
          <w:b w:val="false"/>
          <w:sz w:val="26"/>
        </w:rPr>
        <w:t>8. Trường hợp hoàn trả: Người tham gia nộp hồ sơ theo quy định tại tiết 4 mục Thành phần hồ sơ cho Tổ chức dịch vụ (đối với người tham gia được ngân sách nhà nước hỗ trợ một phần mức đóng BHYT, người tham gia BHYT theo hộ gia đình); cơ sở giáo dục (đối với học sinh, sinh viên) hoặc cơ quan BHXH.</w:t>
      </w:r>
    </w:p>
    <w:p>
      <w:pPr>
        <w:shd w:val="clear" w:color="auto" w:fill="F2F6F9"/>
        <w:spacing w:after="0" w:before="120" w:lineRule="auto" w:line="276"/>
        <w:jc w:val="both"/>
      </w:pPr>
      <w:r>
        <w:rPr>
          <w:rFonts w:ascii="Times New Roman" w:hAnsi="Times New Roman" w:cs="Times New Roman" w:eastAsia="Times New Roman"/>
          <w:b w:val="true"/>
          <w:sz w:val="26"/>
        </w:rPr>
        <w:t>Bước 2. Đóng tiền</w:t>
      </w:r>
    </w:p>
    <w:p>
      <w:pPr>
        <w:spacing w:after="0" w:before="0" w:lineRule="auto" w:line="276"/>
        <w:jc w:val="both"/>
      </w:pPr>
      <w:r>
        <w:rPr>
          <w:rFonts w:ascii="Times New Roman" w:hAnsi="Times New Roman" w:cs="Times New Roman" w:eastAsia="Times New Roman"/>
          <w:b w:val="false"/>
          <w:sz w:val="26"/>
        </w:rPr>
        <w:t>1. Người tham gia: 
a) Người được ngân sách nhà nước hỗ trợ một phần mức đóng BHYT; người tham gia BHYT theo hộ gia đình: Đóng tiền cho tổ chức dịch vụ hoặc cho cơ quan BHXH;
Trường hợp người tham gia nộp hồ sơ qua Cổng Dịch vụ công: Lập hồ sơ theo quy định tại tiết 1.2 điểm 1 Mục Thành phần hồ sơ và nộp trực tuyến trên Cổng Dịch vụ công.
b) Học sinh, sinh viên: đóng tiền cho cơ sở giáo dục.</w:t>
      </w:r>
    </w:p>
    <w:p>
      <w:pPr>
        <w:spacing w:after="0" w:before="0" w:lineRule="auto" w:line="276"/>
        <w:jc w:val="both"/>
      </w:pPr>
      <w:r>
        <w:rPr>
          <w:rFonts w:ascii="Times New Roman" w:hAnsi="Times New Roman" w:cs="Times New Roman" w:eastAsia="Times New Roman"/>
          <w:b w:val="false"/>
          <w:sz w:val="26"/>
        </w:rPr>
        <w:t>2. Tổ chức dịch vụ: Thu tiền đóng BHYT phần thuộc trách nhiệm đóng của người tham gia; cấp biên lai thu tiền cho người tham gia theo quy định. Nộp số tiền đã thu của người tham gia cho cơ quan BHXH hàng ngày thông qua tài khoản ngân hàng hoặc hệ thống tiện ích thông minh.</w:t>
      </w:r>
    </w:p>
    <w:p>
      <w:pPr>
        <w:spacing w:after="0" w:before="0" w:lineRule="auto" w:line="276"/>
        <w:jc w:val="both"/>
      </w:pPr>
      <w:r>
        <w:rPr>
          <w:rFonts w:ascii="Times New Roman" w:hAnsi="Times New Roman" w:cs="Times New Roman" w:eastAsia="Times New Roman"/>
          <w:b w:val="false"/>
          <w:sz w:val="26"/>
        </w:rPr>
        <w:t>3. Cơ sở giáo dục: Nộp số tiền đã thu của Học sinh, sinh viên cho cơ quan BHXH hàng ngày thông qua tài khoản ngân hàng.</w:t>
      </w:r>
    </w:p>
    <w:p>
      <w:pPr>
        <w:spacing w:after="0" w:before="0" w:lineRule="auto" w:line="276"/>
        <w:jc w:val="both"/>
      </w:pPr>
      <w:r>
        <w:rPr>
          <w:rFonts w:ascii="Times New Roman" w:hAnsi="Times New Roman" w:cs="Times New Roman" w:eastAsia="Times New Roman"/>
          <w:b w:val="false"/>
          <w:sz w:val="26"/>
        </w:rPr>
        <w:t>4. Cơ quan Lao động – Thương binh và xã hội: Chuyển tiền đóng BHYT theo phân cấp hoặc phối hợp với cơ quan BHXH đề nghị cơ quan tài chính chuyển tiền đóng BHYT cho cơ quan BHXH theo quy định</w:t>
      </w:r>
    </w:p>
    <w:p>
      <w:pPr>
        <w:spacing w:after="0" w:before="0" w:lineRule="auto" w:line="276"/>
        <w:jc w:val="both"/>
      </w:pPr>
      <w:r>
        <w:rPr>
          <w:rFonts w:ascii="Times New Roman" w:hAnsi="Times New Roman" w:cs="Times New Roman" w:eastAsia="Times New Roman"/>
          <w:b w:val="false"/>
          <w:sz w:val="26"/>
        </w:rPr>
        <w:t>5. UBND xã/Cơ sở trợ giúp xã hội/Cơ sở nuôi dưỡng, điều dưỡng thương binh và người có công/Cơ sở giáo dục nghề nghiệp thuộc ngành Lao động - Thương binh và xã hội/cơ quan/đơn vị quản lý người chỉ tham gia BHYT: Chuyển tiền đóng BHYT theo phân cấp hoặc đề nghị cơ quan Lao động - Thương binh và xã hội hoặc cơ quan tài chính chuyển kinh phí đóng BHYT cho cơ quan BHXH.</w:t>
      </w:r>
    </w:p>
    <w:p>
      <w:pPr>
        <w:shd w:val="clear" w:color="auto" w:fill="F2F6F9"/>
        <w:spacing w:after="0" w:before="120" w:lineRule="auto" w:line="276"/>
        <w:jc w:val="both"/>
      </w:pPr>
      <w:r>
        <w:rPr>
          <w:rFonts w:ascii="Times New Roman" w:hAnsi="Times New Roman" w:cs="Times New Roman" w:eastAsia="Times New Roman"/>
          <w:b w:val="true"/>
          <w:sz w:val="26"/>
        </w:rPr>
        <w:t>Bước 3.</w:t>
      </w:r>
    </w:p>
    <w:p>
      <w:pPr>
        <w:spacing w:after="0" w:before="0" w:lineRule="auto" w:line="276"/>
        <w:jc w:val="both"/>
      </w:pPr>
      <w:r>
        <w:rPr>
          <w:rFonts w:ascii="Times New Roman" w:hAnsi="Times New Roman" w:cs="Times New Roman" w:eastAsia="Times New Roman"/>
          <w:b w:val="false"/>
          <w:sz w:val="26"/>
        </w:rPr>
        <w:t>Cơ quan BHXH tiếp nhận hồ sơ và giải quyết theo quy định</w:t>
      </w:r>
    </w:p>
    <w:p>
      <w:pPr>
        <w:shd w:val="clear" w:color="auto" w:fill="F2F6F9"/>
        <w:spacing w:after="0" w:before="120" w:lineRule="auto" w:line="276"/>
        <w:jc w:val="both"/>
      </w:pPr>
      <w:r>
        <w:rPr>
          <w:rFonts w:ascii="Times New Roman" w:hAnsi="Times New Roman" w:cs="Times New Roman" w:eastAsia="Times New Roman"/>
          <w:b w:val="true"/>
          <w:sz w:val="26"/>
        </w:rPr>
        <w:t>Bước 4.</w:t>
      </w:r>
    </w:p>
    <w:p>
      <w:pPr>
        <w:spacing w:after="0" w:before="0" w:lineRule="auto" w:line="276"/>
        <w:jc w:val="both"/>
      </w:pPr>
      <w:r>
        <w:rPr>
          <w:rFonts w:ascii="Times New Roman" w:hAnsi="Times New Roman" w:cs="Times New Roman" w:eastAsia="Times New Roman"/>
          <w:b w:val="false"/>
          <w:sz w:val="26"/>
        </w:rPr>
        <w:t>Nhận kết quả, gồm: Thẻ BHYT; Quyết định hoàn trả và tiền hoàn trả (nếu có)</w:t>
      </w:r>
    </w:p>
    <w:p>
      <w:pPr>
        <w:shd w:val="clear" w:color="auto" w:fill="F2F6F9"/>
        <w:spacing w:after="0" w:before="120" w:lineRule="auto" w:line="276"/>
        <w:jc w:val="both"/>
      </w:pPr>
      <w:r>
        <w:rPr>
          <w:rFonts w:ascii="Times New Roman" w:hAnsi="Times New Roman" w:cs="Times New Roman" w:eastAsia="Times New Roman"/>
          <w:b w:val="true"/>
          <w:sz w:val="26"/>
        </w:rPr>
        <w:t>Thời hạn giải quyết</w:t>
      </w:r>
    </w:p>
    <w:p>
      <w:pPr>
        <w:spacing w:after="0" w:before="0" w:lineRule="auto" w:line="276"/>
        <w:jc w:val="both"/>
      </w:pPr>
      <w:r>
        <w:rPr>
          <w:rFonts w:ascii="Times New Roman" w:hAnsi="Times New Roman" w:cs="Times New Roman" w:eastAsia="Times New Roman"/>
          <w:b w:val="false"/>
          <w:sz w:val="26"/>
        </w:rPr>
        <w:t>Kể từ ngày cơ quan BHXH nhận đủ hồ sơ theo quy định:
Không quá 05 ngày; riêng đối với người hưởng trợ cấp thất nghiệp không quá 02 ngày.</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1.1. Người tham gia: Nộp hồ sơ bằng một trong các hình thức sau
a) Người được ngân sách nhà nước hỗ trợ một phần mức đóng, người tham gia BHYT theo hộ gia đình
- Trực tiếp tại Bộ phận Một cửa của cơ quan BHXH;
- Trực tuyến tại Cổng Dịch vụ công quốc gia hoặc Cổng Dịch vụ công BHXH Việt Nam;
- Trực tiếp cho Tổ chức dịch vụ thu;
- Thông qua dịch vụ bưu chính.
b) Học sinh, sinh viên: Nộp trực tiếp cho Cơ sở giáo dục.
1.2. UBND xã/Cơ sở trợ giúp xã hội/Cơ sở nuôi dưỡng, điều dưỡng thương binh và người có công/Cơ sở giáo dục nghề nghiệp thuộc ngành Lao động - Thương binh và xã hội/Cơ quan/đơn vị quản lý người chỉ tham gia BHYT: Nộp hồ sơ bằng một trong các hình thức sau:
a) Trực tiếp tại Bộ phận Một cửa của cơ quan BHXH;
b) Thông qua dịch vụ bưu chính;
c) Trực tuyến tại Cổng Dịch vụ công quốc gia hoặc Cổng Dịch vụ công BHXH Việt Nam hoặc Tổ chức I-VAN.
1.3. Tổ chức dịch vụ/Cơ sở giáo dục: Lập hồ sơ giao dịch điện tử hàng ngày gửi cơ quan BHXH.
2. Nộp tiền: 
2.1. Người tham gia có thể lựa chọn:
a) Nộp tiền mặt cho cơ quan BHXH đối với trường hợp người tham gia đóng trực tiếp cho cơ quan BHXH; đối với học sinh, sinh viên nộp cho Cơ sở giáo dục;
b) Nộp tiền mặt cho Tổ chức dịch vụ đối với trường hợp người tham gia đóng trực tiếp cho Tổ chức dịch vụ;
c) Nộp tiền thông qua tài khoản ngân hàng hoặc hệ thống tiện ích thông minh theo phương thức giao dịch đã lựa chọn.
2.2. Tổ chức dịch vụ/Cơ sở giáo dục: Nộp số tiền đã thu của người tham gia cho cơ quan BHXH hàng ngày thông qua tài khoản ngân hàng hoặc hệ thống tiện ích thông minh.
2.3. UBND xã/Cơ sở trợ giúp xã hội/Cơ sở nuôi dưỡng, điều dưỡng thương binh và người có công/Cơ sở giáo dục nghề nghiệp thuộc ngành Lao động - Thương binh và xã hội/cơ quan/đơn vị quản lý người chỉ tham gia BHYT; Cơ quan Lao động – Thương binh và Xã hội: Nộp tiền theo quy định.
3. Nhận kết quả giải quyết:
a) Người tham gia được ngân sách nhà nước hỗ trợ một phần mức đóng, người tham gia BHYT theo hộ gia đình nộp hồ sơ trực tiếp cho cơ quan BHXH hoặc đóng theo phương thức trực tuyến: Nhận kết quả theo các hình thức đăng ký.
b) Người tham gia nộp hồ sơ cho UBND xã/Tổ chức dịch vụ/Cơ sở giáo dục/Cơ sở trợ giúp xã hội/Cơ sở nuôi dưỡng, điều dưỡng thương binh và người có công/Cơ sở giáo dục nghề nghiệp thuộc ngành Lao động - Thương binh và xã hội/Cơ quan, đơn vị quản lý người chỉ tham gia BHYT: nhận kết quả từ đơn vị nộp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1.1. Người tham gia: Nộp hồ sơ bằng một trong các hình thức sau
a) Người được ngân sách nhà nước hỗ trợ một phần mức đóng, người tham gia BHYT theo hộ gia đình
- Trực tiếp tại Bộ phận Một cửa của cơ quan BHXH;
- Trực tuyến tại Cổng Dịch vụ công quốc gia hoặc Cổng Dịch vụ công BHXH Việt Nam;
- Trực tiếp cho Tổ chức dịch vụ thu;
- Thông qua dịch vụ bưu chính.
b) Học sinh, sinh viên: Nộp trực tiếp cho Cơ sở giáo dục.
1.2. UBND xã/Cơ sở trợ giúp xã hội/Cơ sở nuôi dưỡng, điều dưỡng thương binh và người có công/Cơ sở giáo dục nghề nghiệp thuộc ngành Lao động - Thương binh và xã hội/Cơ quan/đơn vị quản lý người chỉ tham gia BHYT: Nộp hồ sơ bằng một trong các hình thức sau:
a) Trực tiếp tại Bộ phận Một cửa của cơ quan BHXH;
b) Thông qua dịch vụ bưu chính;
c) Trực tuyến tại Cổng Dịch vụ công quốc gia hoặc Cổng Dịch vụ công BHXH Việt Nam hoặc Tổ chức I-VAN.
1.3. Tổ chức dịch vụ/Cơ sở giáo dục: Lập hồ sơ giao dịch điện tử hàng ngày gửi cơ quan BHXH.
2. Nộp tiền: 
2.1. Người tham gia có thể lựa chọn:
a) Nộp tiền mặt cho cơ quan BHXH đối với trường hợp người tham gia đóng trực tiếp cho cơ quan BHXH; đối với học sinh, sinh viên nộp cho Cơ sở giáo dục;
b) Nộp tiền mặt cho Tổ chức dịch vụ đối với trường hợp người tham gia đóng trực tiếp cho Tổ chức dịch vụ;
c) Nộp tiền thông qua tài khoản ngân hàng hoặc hệ thống tiện ích thông minh theo phương thức giao dịch đã lựa chọn.
2.2. Tổ chức dịch vụ/Cơ sở giáo dục: Nộp số tiền đã thu của người tham gia cho cơ quan BHXH hàng ngày thông qua tài khoản ngân hàng hoặc hệ thống tiện ích thông minh.
2.3. UBND xã/Cơ sở trợ giúp xã hội/Cơ sở nuôi dưỡng, điều dưỡng thương binh và người có công/Cơ sở giáo dục nghề nghiệp thuộc ngành Lao động - Thương binh và xã hội/cơ quan/đơn vị quản lý người chỉ tham gia BHYT; Cơ quan Lao động – Thương binh và Xã hội: Nộp tiền theo quy định.
3. Nhận kết quả giải quyết:
a) Người tham gia được ngân sách nhà nước hỗ trợ một phần mức đóng, người tham gia BHYT theo hộ gia đình nộp hồ sơ trực tiếp cho cơ quan BHXH hoặc đóng theo phương thức trực tuyến: Nhận kết quả theo các hình thức đăng ký.
b) Người tham gia nộp hồ sơ cho UBND xã/Tổ chức dịch vụ/Cơ sở giáo dục/Cơ sở trợ giúp xã hội/Cơ sở nuôi dưỡng, điều dưỡng thương binh và người có công/Cơ sở giáo dục nghề nghiệp thuộc ngành Lao động - Thương binh và xã hội/Cơ quan, đơn vị quản lý người chỉ tham gia BHYT: nhận kết quả từ đơn vị nộp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1.1. Người tham gia: Nộp hồ sơ bằng một trong các hình thức sau
a) Người được ngân sách nhà nước hỗ trợ một phần mức đóng, người tham gia BHYT theo hộ gia đình
- Trực tiếp tại Bộ phận Một cửa của cơ quan BHXH;
- Trực tuyến tại Cổng Dịch vụ công quốc gia hoặc Cổng Dịch vụ công BHXH Việt Nam;
- Trực tiếp cho Tổ chức dịch vụ thu;
- Thông qua dịch vụ bưu chính.
b) Học sinh, sinh viên: Nộp trực tiếp cho Cơ sở giáo dục.
1.2. UBND xã/Cơ sở trợ giúp xã hội/Cơ sở nuôi dưỡng, điều dưỡng thương binh và người có công/Cơ sở giáo dục nghề nghiệp thuộc ngành Lao động - Thương binh và xã hội/Cơ quan/đơn vị quản lý người chỉ tham gia BHYT: Nộp hồ sơ bằng một trong các hình thức sau:
a) Trực tiếp tại Bộ phận Một cửa của cơ quan BHXH;
b) Thông qua dịch vụ bưu chính;
c) Trực tuyến tại Cổng Dịch vụ công quốc gia hoặc Cổng Dịch vụ công BHXH Việt Nam hoặc Tổ chức I-VAN.
1.3. Tổ chức dịch vụ/Cơ sở giáo dục: Lập hồ sơ giao dịch điện tử hàng ngày gửi cơ quan BHXH.
2. Nộp tiền: 
2.1. Người tham gia có thể lựa chọn:
a) Nộp tiền mặt cho cơ quan BHXH đối với trường hợp người tham gia đóng trực tiếp cho cơ quan BHXH; đối với học sinh, sinh viên nộp cho Cơ sở giáo dục;
b) Nộp tiền mặt cho Tổ chức dịch vụ đối với trường hợp người tham gia đóng trực tiếp cho Tổ chức dịch vụ;
c) Nộp tiền thông qua tài khoản ngân hàng hoặc hệ thống tiện ích thông minh theo phương thức giao dịch đã lựa chọn.
2.2. Tổ chức dịch vụ/Cơ sở giáo dục: Nộp số tiền đã thu của người tham gia cho cơ quan BHXH hàng ngày thông qua tài khoản ngân hàng hoặc hệ thống tiện ích thông minh.
2.3. UBND xã/Cơ sở trợ giúp xã hội/Cơ sở nuôi dưỡng, điều dưỡng thương binh và người có công/Cơ sở giáo dục nghề nghiệp thuộc ngành Lao động - Thương binh và xã hội/cơ quan/đơn vị quản lý người chỉ tham gia BHYT; Cơ quan Lao động – Thương binh và Xã hội: Nộp tiền theo quy định.
3. Nhận kết quả giải quyết:
a) Người tham gia được ngân sách nhà nước hỗ trợ một phần mức đóng, người tham gia BHYT theo hộ gia đình nộp hồ sơ trực tiếp cho cơ quan BHXH hoặc đóng theo phương thức trực tuyến: Nhận kết quả theo các hình thức đăng ký.
b) Người tham gia nộp hồ sơ cho UBND xã/Tổ chức dịch vụ/Cơ sở giáo dục/Cơ sở trợ giúp xã hội/Cơ sở nuôi dưỡng, điều dưỡng thương binh và người có công/Cơ sở giáo dục nghề nghiệp thuộc ngành Lao động - Thương binh và xã hội/Cơ quan, đơn vị quản lý người chỉ tham gia BHYT: nhận kết quả từ đơn vị nộp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1. Đối với người tham gia</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tham gia, điều chỉnh thông tin BHXH, BHYT (Mẫu TK1-TS) đối với người tham gia lần đầu hoặc có mã số BHXH nhưng chưa đủ thông tin.</w:t>
            </w:r>
          </w:p>
        </w:tc>
        <w:tc>
          <w:p/>
          <w:p>
            <w:pPr>
              <w:spacing w:after="0" w:before="0" w:lineRule="auto" w:line="276"/>
              <w:jc w:val="left"/>
            </w:pPr>
            <w:r>
              <w:rPr>
                <w:rFonts w:ascii="Times New Roman" w:hAnsi="Times New Roman" w:cs="Times New Roman" w:eastAsia="Times New Roman"/>
                <w:b w:val="false"/>
                <w:sz w:val="26"/>
              </w:rPr>
              <w:t>Mẫu TK1-TS.docx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người tham gia do ngân sách nhà nước hỗ trợ một phần mức đóng BHYT, người tham gia BHYT theo hộ gia đình nộp qua Cổng Dịch vụ công thì kê khai Tờ khai đăng ký đóng, cấp thẻ BHYT trên Cổng Dịch vụ công (Mẫu 01-TK)</w:t>
            </w:r>
          </w:p>
        </w:tc>
        <w:tc>
          <w:p/>
          <w:p>
            <w:pPr>
              <w:spacing w:after="0" w:before="0" w:lineRule="auto" w:line="276"/>
              <w:jc w:val="left"/>
            </w:pPr>
            <w:r>
              <w:rPr>
                <w:rFonts w:ascii="Times New Roman" w:hAnsi="Times New Roman" w:cs="Times New Roman" w:eastAsia="Times New Roman"/>
                <w:b w:val="false"/>
                <w:sz w:val="26"/>
              </w:rPr>
              <w:t>Mẫu 01-TK.docx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người tham gia là người đã hiến bộ phận cơ thể người theo quy định của pháp luật: bổ sung Giấy ra viện có ghi rõ "đã hiến bộ phận cơ thể".</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Trường hợp người tham gia được hưởng quyền lợi BHYT cao hơn: bổ sung Giấy tờ chứng minh (nếu có) theo Phụ lục 03 (ban hành kèm theo Quyết định số 948/QĐ-BHXH ngày 05/6/2023 của Tổng Giám đốc Bảo hiểm xã hội Việt Nam).</w:t>
            </w:r>
          </w:p>
        </w:tc>
        <w:tc>
          <w:p/>
          <w:p>
            <w:pPr>
              <w:spacing w:after="0" w:before="0" w:lineRule="auto" w:line="276"/>
              <w:jc w:val="left"/>
            </w:pPr>
            <w:r>
              <w:rPr>
                <w:rFonts w:ascii="Times New Roman" w:hAnsi="Times New Roman" w:cs="Times New Roman" w:eastAsia="Times New Roman"/>
                <w:b w:val="false"/>
                <w:sz w:val="26"/>
              </w:rPr>
              <w:t>Phụ lục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2. Đơn vị; UBND xã; Cơ sở trợ giúp xã hội, Cơ sở nuôi dưỡng, điều dưỡng thương binh và người có công/Cơ sở giáo dục nghề nghiệp thuộc ngành lao động, thương binh và xã hội; Tổ chức dịch vụ/Cơ sở giáo dục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Danh sách người chỉ tham gia BHYT (Mẫu D03-TS) kèm theo mẫu TK1-TS của người tham gia</w:t>
            </w:r>
          </w:p>
        </w:tc>
        <w:tc>
          <w:p/>
          <w:p>
            <w:pPr>
              <w:spacing w:after="0" w:before="0" w:lineRule="auto" w:line="276"/>
              <w:jc w:val="left"/>
            </w:pPr>
            <w:r>
              <w:rPr>
                <w:rFonts w:ascii="Times New Roman" w:hAnsi="Times New Roman" w:cs="Times New Roman" w:eastAsia="Times New Roman"/>
                <w:b w:val="false"/>
                <w:sz w:val="26"/>
              </w:rPr>
              <w:t>Mẫu D03-TS.docx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thanh toán thù lao cho tổ chức làm dịch vụ thu (Mẫu C66a-HD) tương ứng với số tiền nộp (đối với Tổ chức dịch vụ/Cơ sở giáo dục)</w:t>
            </w:r>
          </w:p>
        </w:tc>
        <w:tc>
          <w:p/>
          <w:p>
            <w:pPr>
              <w:spacing w:after="0" w:before="0" w:lineRule="auto" w:line="276"/>
              <w:jc w:val="left"/>
            </w:pPr>
            <w:r>
              <w:rPr>
                <w:rFonts w:ascii="Times New Roman" w:hAnsi="Times New Roman" w:cs="Times New Roman" w:eastAsia="Times New Roman"/>
                <w:b w:val="false"/>
                <w:sz w:val="26"/>
              </w:rPr>
              <w:t>Mẫu C66a-HD.docx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đối tượng tham gia BHYT (Mẫu số 2) đối với đối tượng do Bộ Lao động – Thương binh và xã hội quản lý</w:t>
            </w:r>
          </w:p>
        </w:tc>
        <w:tc>
          <w:p/>
          <w:p>
            <w:pPr>
              <w:spacing w:after="0" w:before="0" w:lineRule="auto" w:line="276"/>
              <w:jc w:val="left"/>
            </w:pPr>
            <w:r>
              <w:rPr>
                <w:rFonts w:ascii="Times New Roman" w:hAnsi="Times New Roman" w:cs="Times New Roman" w:eastAsia="Times New Roman"/>
                <w:b w:val="false"/>
                <w:sz w:val="26"/>
              </w:rPr>
              <w:t>Mẫu số 2_NĐ 146.docx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3. Phòng/Tổ chế độ BHXH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Danh sách người chỉ tham gia BHYT (Mẫu D03-TS) đối với người tham gia BHYT do tổ chức BHXH đóng (kể cả đối tượng đang chờ ban hành quyết định hưởng hưu trí).</w:t>
            </w:r>
          </w:p>
        </w:tc>
        <w:tc>
          <w:p/>
          <w:p>
            <w:pPr>
              <w:spacing w:after="0" w:before="0" w:lineRule="auto" w:line="276"/>
              <w:jc w:val="left"/>
            </w:pPr>
            <w:r>
              <w:rPr>
                <w:rFonts w:ascii="Times New Roman" w:hAnsi="Times New Roman" w:cs="Times New Roman" w:eastAsia="Times New Roman"/>
                <w:b w:val="false"/>
                <w:sz w:val="26"/>
              </w:rPr>
              <w:t>Mẫu D03-TS.docx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4. Trường hợp hoàn trả tiền đã đóng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Đối với người tham gia: - Tờ khai tham gia, điều chỉnh thông tin BHXH, BHYT (Mẫu TK1-TS). - Văn bản chứng thực hoặc bản chụp kèm theo bản chính Giấy chứng tử đối với trường hợp chết</w:t>
            </w:r>
          </w:p>
        </w:tc>
        <w:tc>
          <w:p/>
          <w:p>
            <w:pPr>
              <w:spacing w:after="0" w:before="0" w:lineRule="auto" w:line="276"/>
              <w:jc w:val="left"/>
            </w:pPr>
            <w:r>
              <w:rPr>
                <w:rFonts w:ascii="Times New Roman" w:hAnsi="Times New Roman" w:cs="Times New Roman" w:eastAsia="Times New Roman"/>
                <w:b w:val="false"/>
                <w:sz w:val="26"/>
              </w:rPr>
              <w:t>Mẫu TK1-TS.docx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Đối với Tổ chức dịch vụ/Cơ sở giáo dục: Trường hợp hoàn trả tiền đóng BHYT cho nhiều người trong cùng đối tượng, lập danh sách đề nghị hoàn trả theo mẫu D03-TS.</w:t>
            </w:r>
          </w:p>
        </w:tc>
        <w:tc>
          <w:p/>
          <w:p>
            <w:pPr>
              <w:spacing w:after="0" w:before="0" w:lineRule="auto" w:line="276"/>
              <w:jc w:val="left"/>
            </w:pPr>
            <w:r>
              <w:rPr>
                <w:rFonts w:ascii="Times New Roman" w:hAnsi="Times New Roman" w:cs="Times New Roman" w:eastAsia="Times New Roman"/>
                <w:b w:val="false"/>
                <w:sz w:val="26"/>
              </w:rPr>
              <w:t>Mẫu D03-TS.docx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Bảo hiểm xã hội cấp huyện, Bảo hiểm xã hội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về việc hoàn trả tiền thu BHXH, BHYT, BHTN, BHTNLĐ, BNN, Thẻ BHYT, Quyết định hoàn trả (mẫu C16-TS) và Tiền hoàn trả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25/2008/QH12</w:t>
            </w:r>
          </w:p>
        </w:tc>
        <w:tc>
          <w:p/>
          <w:p>
            <w:pPr>
              <w:spacing w:after="0" w:before="0" w:lineRule="auto" w:line="276"/>
              <w:jc w:val="left"/>
            </w:pPr>
            <w:r>
              <w:rPr>
                <w:rFonts w:ascii="Times New Roman" w:hAnsi="Times New Roman" w:cs="Times New Roman" w:eastAsia="Times New Roman"/>
                <w:b w:val="false"/>
                <w:sz w:val="26"/>
              </w:rPr>
              <w:t>Luật 25/2008/QH12 - Bảo hiểm y tế</w:t>
            </w:r>
          </w:p>
        </w:tc>
        <w:tc>
          <w:p/>
          <w:p>
            <w:pPr>
              <w:spacing w:after="0" w:before="0" w:lineRule="auto" w:line="276"/>
              <w:jc w:val="left"/>
            </w:pPr>
            <w:r>
              <w:rPr>
                <w:rFonts w:ascii="Times New Roman" w:hAnsi="Times New Roman" w:cs="Times New Roman" w:eastAsia="Times New Roman"/>
                <w:b w:val="false"/>
                <w:sz w:val="26"/>
              </w:rPr>
              <w:t>14-11-2008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146/2018/NĐ-CP</w:t>
            </w:r>
          </w:p>
        </w:tc>
        <w:tc>
          <w:p/>
          <w:p>
            <w:pPr>
              <w:spacing w:after="0" w:before="0" w:lineRule="auto" w:line="276"/>
              <w:jc w:val="left"/>
            </w:pPr>
            <w:r>
              <w:rPr>
                <w:rFonts w:ascii="Times New Roman" w:hAnsi="Times New Roman" w:cs="Times New Roman" w:eastAsia="Times New Roman"/>
                <w:b w:val="false"/>
                <w:sz w:val="26"/>
              </w:rPr>
              <w:t>Nghị định 146/2018/NĐ-CP Quy định chi tiết và hướng dẫn biện pháp thi hành một số điều của Luật bảo hiểm y tế</w:t>
            </w:r>
          </w:p>
        </w:tc>
        <w:tc>
          <w:p/>
          <w:p>
            <w:pPr>
              <w:spacing w:after="0" w:before="0" w:lineRule="auto" w:line="276"/>
              <w:jc w:val="left"/>
            </w:pPr>
            <w:r>
              <w:rPr>
                <w:rFonts w:ascii="Times New Roman" w:hAnsi="Times New Roman" w:cs="Times New Roman" w:eastAsia="Times New Roman"/>
                <w:b w:val="false"/>
                <w:sz w:val="26"/>
              </w:rPr>
              <w:t>17-10-2018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595/QĐ-BHXH </w:t>
            </w:r>
          </w:p>
        </w:tc>
        <w:tc>
          <w:p/>
          <w:p>
            <w:pPr>
              <w:spacing w:after="0" w:before="0" w:lineRule="auto" w:line="276"/>
              <w:jc w:val="left"/>
            </w:pPr>
            <w:r>
              <w:rPr>
                <w:rFonts w:ascii="Times New Roman" w:hAnsi="Times New Roman" w:cs="Times New Roman" w:eastAsia="Times New Roman"/>
                <w:b w:val="false"/>
                <w:sz w:val="26"/>
              </w:rPr>
              <w:t>ban hành Quy trình thu bảo hiểm xã hội, bảo hiểm y tế, bảo hiểm thất nghiệp, bảo hiểm tai nạn lao động, bệnh nghề nghiệp; cấp sổ bảo hiểm xã hội, thẻ bảo hiểm y tế</w:t>
            </w:r>
          </w:p>
        </w:tc>
        <w:tc>
          <w:p/>
          <w:p>
            <w:pPr>
              <w:spacing w:after="0" w:before="0" w:lineRule="auto" w:line="276"/>
              <w:jc w:val="left"/>
            </w:pPr>
            <w:r>
              <w:rPr>
                <w:rFonts w:ascii="Times New Roman" w:hAnsi="Times New Roman" w:cs="Times New Roman" w:eastAsia="Times New Roman"/>
                <w:b w:val="false"/>
                <w:sz w:val="26"/>
              </w:rPr>
              <w:t>14-04-2017</w:t>
            </w:r>
          </w:p>
        </w:tc>
        <w:tc>
          <w:p/>
          <w:p>
            <w:pPr>
              <w:spacing w:after="0" w:before="0" w:lineRule="auto" w:line="276"/>
              <w:jc w:val="left"/>
            </w:pPr>
            <w:r>
              <w:rPr>
                <w:rFonts w:ascii="Times New Roman" w:hAnsi="Times New Roman" w:cs="Times New Roman" w:eastAsia="Times New Roman"/>
                <w:b w:val="false"/>
                <w:sz w:val="26"/>
              </w:rPr>
              <w:t>Bảo hiểm xã hội Việt Nam</w:t>
            </w:r>
          </w:p>
        </w:tc>
      </w:tr>
      <w:tr>
        <w:tc>
          <w:p/>
          <w:p>
            <w:pPr>
              <w:spacing w:after="0" w:before="0" w:lineRule="auto" w:line="276"/>
              <w:jc w:val="left"/>
            </w:pPr>
            <w:r>
              <w:rPr>
                <w:rFonts w:ascii="Times New Roman" w:hAnsi="Times New Roman" w:cs="Times New Roman" w:eastAsia="Times New Roman"/>
                <w:b w:val="false"/>
                <w:sz w:val="26"/>
              </w:rPr>
              <w:t>888/QĐ-BHXH</w:t>
            </w:r>
          </w:p>
        </w:tc>
        <w:tc>
          <w:p/>
          <w:p>
            <w:pPr>
              <w:spacing w:after="0" w:before="0" w:lineRule="auto" w:line="276"/>
              <w:jc w:val="left"/>
            </w:pPr>
            <w:r>
              <w:rPr>
                <w:rFonts w:ascii="Times New Roman" w:hAnsi="Times New Roman" w:cs="Times New Roman" w:eastAsia="Times New Roman"/>
                <w:b w:val="false"/>
                <w:sz w:val="26"/>
              </w:rPr>
              <w:t>Sửa đổi, bổ sung một số điều Quy trình thu bảo hiểm xã hội, bảo hiểm y tế, bảo hiểm thất nghiệp, bảo hiệm tai nạn lao động, bệnh nghề nghiệp; quản lý sổ bảo hiểm xã hội, thẻ bảo hiểm y tế ban hành kèm theo Quyết định số 595/QĐ-BHXH ngày 14/04/2017 của Tổng Giám đốc Bảo hiểm Xã hội Việt Nam</w:t>
            </w:r>
          </w:p>
        </w:tc>
        <w:tc>
          <w:p/>
          <w:p>
            <w:pPr>
              <w:spacing w:after="0" w:before="0" w:lineRule="auto" w:line="276"/>
              <w:jc w:val="left"/>
            </w:pPr>
            <w:r>
              <w:rPr>
                <w:rFonts w:ascii="Times New Roman" w:hAnsi="Times New Roman" w:cs="Times New Roman" w:eastAsia="Times New Roman"/>
                <w:b w:val="false"/>
                <w:sz w:val="26"/>
              </w:rPr>
              <w:t>16-07-2018</w:t>
            </w:r>
          </w:p>
        </w:tc>
        <w:tc>
          <w:p/>
          <w:p>
            <w:pPr>
              <w:spacing w:after="0" w:before="0" w:lineRule="auto" w:line="276"/>
              <w:jc w:val="left"/>
            </w:pPr>
            <w:r>
              <w:rPr>
                <w:rFonts w:ascii="Times New Roman" w:hAnsi="Times New Roman" w:cs="Times New Roman" w:eastAsia="Times New Roman"/>
                <w:b w:val="false"/>
                <w:sz w:val="26"/>
              </w:rPr>
              <w:t>Bảo hiểm xã hội Việt Nam</w:t>
            </w:r>
          </w:p>
        </w:tc>
      </w:tr>
      <w:tr>
        <w:tc>
          <w:p/>
          <w:p>
            <w:pPr>
              <w:spacing w:after="0" w:before="0" w:lineRule="auto" w:line="276"/>
              <w:jc w:val="left"/>
            </w:pPr>
            <w:r>
              <w:rPr>
                <w:rFonts w:ascii="Times New Roman" w:hAnsi="Times New Roman" w:cs="Times New Roman" w:eastAsia="Times New Roman"/>
                <w:b w:val="false"/>
                <w:sz w:val="26"/>
              </w:rPr>
              <w:t>838/QĐ-BHXH</w:t>
            </w:r>
          </w:p>
        </w:tc>
        <w:tc>
          <w:p/>
          <w:p>
            <w:pPr>
              <w:spacing w:after="0" w:before="0" w:lineRule="auto" w:line="276"/>
              <w:jc w:val="left"/>
            </w:pPr>
            <w:r>
              <w:rPr>
                <w:rFonts w:ascii="Times New Roman" w:hAnsi="Times New Roman" w:cs="Times New Roman" w:eastAsia="Times New Roman"/>
                <w:b w:val="false"/>
                <w:sz w:val="26"/>
              </w:rPr>
              <w:t>ban hành quy trình giao dịch điện tử trong lĩnh vực bảo hiểm xã hội, bảo hiểm y tế, bảo hiểm thất nghiệp</w:t>
            </w:r>
          </w:p>
        </w:tc>
        <w:tc>
          <w:p/>
          <w:p>
            <w:pPr>
              <w:spacing w:after="0" w:before="0" w:lineRule="auto" w:line="276"/>
              <w:jc w:val="left"/>
            </w:pPr>
            <w:r>
              <w:rPr>
                <w:rFonts w:ascii="Times New Roman" w:hAnsi="Times New Roman" w:cs="Times New Roman" w:eastAsia="Times New Roman"/>
                <w:b w:val="false"/>
                <w:sz w:val="26"/>
              </w:rPr>
              <w:t>29-05-2017</w:t>
            </w:r>
          </w:p>
        </w:tc>
        <w:tc>
          <w:p/>
          <w:p>
            <w:pPr>
              <w:spacing w:after="0" w:before="0" w:lineRule="auto" w:line="276"/>
              <w:jc w:val="left"/>
            </w:pPr>
            <w:r>
              <w:rPr>
                <w:rFonts w:ascii="Times New Roman" w:hAnsi="Times New Roman" w:cs="Times New Roman" w:eastAsia="Times New Roman"/>
                <w:b w:val="false"/>
                <w:sz w:val="26"/>
              </w:rPr>
              <w:t>Bảo hiểm xã hội Việt Nam</w:t>
            </w:r>
          </w:p>
        </w:tc>
      </w:tr>
      <w:tr>
        <w:tc>
          <w:p/>
          <w:p>
            <w:pPr>
              <w:spacing w:after="0" w:before="0" w:lineRule="auto" w:line="276"/>
              <w:jc w:val="left"/>
            </w:pPr>
            <w:r>
              <w:rPr>
                <w:rFonts w:ascii="Times New Roman" w:hAnsi="Times New Roman" w:cs="Times New Roman" w:eastAsia="Times New Roman"/>
                <w:b w:val="false"/>
                <w:sz w:val="26"/>
              </w:rPr>
              <w:t>505/QĐ-BHXH</w:t>
            </w:r>
          </w:p>
        </w:tc>
        <w:tc>
          <w:p/>
          <w:p>
            <w:pPr>
              <w:spacing w:after="0" w:before="0" w:lineRule="auto" w:line="276"/>
              <w:jc w:val="left"/>
            </w:pPr>
            <w:r>
              <w:rPr>
                <w:rFonts w:ascii="Times New Roman" w:hAnsi="Times New Roman" w:cs="Times New Roman" w:eastAsia="Times New Roman"/>
                <w:b w:val="false"/>
                <w:sz w:val="26"/>
              </w:rPr>
              <w:t>Quyết định sửa đổi, bổ sung một số điều Quy trình thu BHXH, BHYT, BHTN, bảo hiểm TNLĐ-BNN; quản lý sổ BHXH, thẻ BHYT ban hành kèm theo Quyết định số 595/QĐ-BHXH ngày 14/4/2017 của Tổng Giám đốc BHXH Việt Nam</w:t>
            </w:r>
          </w:p>
        </w:tc>
        <w:tc>
          <w:p/>
          <w:p>
            <w:pPr>
              <w:spacing w:after="0" w:before="0" w:lineRule="auto" w:line="276"/>
              <w:jc w:val="left"/>
            </w:pPr>
            <w:r>
              <w:rPr>
                <w:rFonts w:ascii="Times New Roman" w:hAnsi="Times New Roman" w:cs="Times New Roman" w:eastAsia="Times New Roman"/>
                <w:b w:val="false"/>
                <w:sz w:val="26"/>
              </w:rPr>
              <w:t>27-03-2020</w:t>
            </w:r>
          </w:p>
        </w:tc>
        <w:tc>
          <w:p/>
          <w:p>
            <w:pPr>
              <w:spacing w:after="0" w:before="0" w:lineRule="auto" w:line="276"/>
              <w:jc w:val="left"/>
            </w:pPr>
            <w:r>
              <w:rPr>
                <w:rFonts w:ascii="Times New Roman" w:hAnsi="Times New Roman" w:cs="Times New Roman" w:eastAsia="Times New Roman"/>
                <w:b w:val="false"/>
                <w:sz w:val="26"/>
              </w:rPr>
              <w:t>Bảo hiểm xã hội Việt Nam</w:t>
            </w:r>
          </w:p>
        </w:tc>
      </w:tr>
      <w:tr>
        <w:tc>
          <w:p/>
          <w:p>
            <w:pPr>
              <w:spacing w:after="0" w:before="0" w:lineRule="auto" w:line="276"/>
              <w:jc w:val="left"/>
            </w:pPr>
            <w:r>
              <w:rPr>
                <w:rFonts w:ascii="Times New Roman" w:hAnsi="Times New Roman" w:cs="Times New Roman" w:eastAsia="Times New Roman"/>
                <w:b w:val="false"/>
                <w:sz w:val="26"/>
              </w:rPr>
              <w:t>102/2018/TT-BTC</w:t>
            </w:r>
          </w:p>
        </w:tc>
        <w:tc>
          <w:p/>
          <w:p>
            <w:pPr>
              <w:spacing w:after="0" w:before="0" w:lineRule="auto" w:line="276"/>
              <w:jc w:val="left"/>
            </w:pPr>
            <w:r>
              <w:rPr>
                <w:rFonts w:ascii="Times New Roman" w:hAnsi="Times New Roman" w:cs="Times New Roman" w:eastAsia="Times New Roman"/>
                <w:b w:val="false"/>
                <w:sz w:val="26"/>
              </w:rPr>
              <w:t>Thông tư 102/2018/TT-BTC</w:t>
            </w:r>
          </w:p>
        </w:tc>
        <w:tc>
          <w:p/>
          <w:p>
            <w:pPr>
              <w:spacing w:after="0" w:before="0" w:lineRule="auto" w:line="276"/>
              <w:jc w:val="left"/>
            </w:pPr>
            <w:r>
              <w:rPr>
                <w:rFonts w:ascii="Times New Roman" w:hAnsi="Times New Roman" w:cs="Times New Roman" w:eastAsia="Times New Roman"/>
                <w:b w:val="false"/>
                <w:sz w:val="26"/>
              </w:rPr>
              <w:t>14-11-2018</w:t>
            </w:r>
          </w:p>
        </w:tc>
        <w:tc>
          <w:p/>
        </w:tc>
      </w:tr>
      <w:tr>
        <w:tc>
          <w:p/>
          <w:p>
            <w:pPr>
              <w:spacing w:after="0" w:before="0" w:lineRule="auto" w:line="276"/>
              <w:jc w:val="left"/>
            </w:pPr>
            <w:r>
              <w:rPr>
                <w:rFonts w:ascii="Times New Roman" w:hAnsi="Times New Roman" w:cs="Times New Roman" w:eastAsia="Times New Roman"/>
                <w:b w:val="false"/>
                <w:sz w:val="26"/>
              </w:rPr>
              <w:t>46/2014/QH13</w:t>
            </w:r>
          </w:p>
        </w:tc>
        <w:tc>
          <w:p/>
          <w:p>
            <w:pPr>
              <w:spacing w:after="0" w:before="0" w:lineRule="auto" w:line="276"/>
              <w:jc w:val="left"/>
            </w:pPr>
            <w:r>
              <w:rPr>
                <w:rFonts w:ascii="Times New Roman" w:hAnsi="Times New Roman" w:cs="Times New Roman" w:eastAsia="Times New Roman"/>
                <w:b w:val="false"/>
                <w:sz w:val="26"/>
              </w:rPr>
              <w:t>Luật 46/2014/QH13</w:t>
            </w:r>
          </w:p>
        </w:tc>
        <w:tc>
          <w:p/>
          <w:p>
            <w:pPr>
              <w:spacing w:after="0" w:before="0" w:lineRule="auto" w:line="276"/>
              <w:jc w:val="left"/>
            </w:pPr>
            <w:r>
              <w:rPr>
                <w:rFonts w:ascii="Times New Roman" w:hAnsi="Times New Roman" w:cs="Times New Roman" w:eastAsia="Times New Roman"/>
                <w:b w:val="false"/>
                <w:sz w:val="26"/>
              </w:rPr>
              <w:t>13-06-2014</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490/QĐ-BHXH</w:t>
            </w:r>
          </w:p>
        </w:tc>
        <w:tc>
          <w:p/>
          <w:p>
            <w:pPr>
              <w:spacing w:after="0" w:before="0" w:lineRule="auto" w:line="276"/>
              <w:jc w:val="left"/>
            </w:pPr>
            <w:r>
              <w:rPr>
                <w:rFonts w:ascii="Times New Roman" w:hAnsi="Times New Roman" w:cs="Times New Roman" w:eastAsia="Times New Roman"/>
                <w:b w:val="false"/>
                <w:sz w:val="26"/>
              </w:rPr>
              <w:t>Quyết định số 490/QĐ-BHXH ngày 28 tháng 3 năm 2023 Tổng Giám đốc Bảo hiểm xã hội Việt Nam về sửa đổi, bổ sung một số điều của Quy trình thu bảo hiểm xã hội, bảo hiểm y tế, bảo hiểm thất nghiệp, bảo hiểm tai nạn lao động, bệnh nghề nghiệp; quản lý sổ bảo hiểm xã hội, thẻ bảo hiểm y tế ban hành kèm theo Quyết định số 595/QĐ-BHXH ngày 14 tháng 4 năm 2017 của Tổng Giám đốc Bảo hiểm xã hội Việt Nam và sửa đổi, bổ sung Điều 1 của Quyết định số 505/QĐ-BHXH ngày 27 tháng 3 năm 2020 của Tổng Giám đốc Bảo hiểm xã hội Việt Nam</w:t>
            </w:r>
          </w:p>
        </w:tc>
        <w:tc>
          <w:p/>
          <w:p>
            <w:pPr>
              <w:spacing w:after="0" w:before="0" w:lineRule="auto" w:line="276"/>
              <w:jc w:val="left"/>
            </w:pPr>
            <w:r>
              <w:rPr>
                <w:rFonts w:ascii="Times New Roman" w:hAnsi="Times New Roman" w:cs="Times New Roman" w:eastAsia="Times New Roman"/>
                <w:b w:val="false"/>
                <w:sz w:val="26"/>
              </w:rPr>
              <w:t>28-03-2023</w:t>
            </w:r>
          </w:p>
        </w:tc>
        <w:tc>
          <w:p/>
          <w:p>
            <w:pPr>
              <w:spacing w:after="0" w:before="0" w:lineRule="auto" w:line="276"/>
              <w:jc w:val="left"/>
            </w:pPr>
            <w:r>
              <w:rPr>
                <w:rFonts w:ascii="Times New Roman" w:hAnsi="Times New Roman" w:cs="Times New Roman" w:eastAsia="Times New Roman"/>
                <w:b w:val="false"/>
                <w:sz w:val="26"/>
              </w:rPr>
              <w:t>Đơn vị</w:t>
            </w:r>
          </w:p>
        </w:tc>
      </w:tr>
      <w:tr>
        <w:tc>
          <w:p/>
          <w:p>
            <w:pPr>
              <w:spacing w:after="0" w:before="0" w:lineRule="auto" w:line="276"/>
              <w:jc w:val="left"/>
            </w:pPr>
            <w:r>
              <w:rPr>
                <w:rFonts w:ascii="Times New Roman" w:hAnsi="Times New Roman" w:cs="Times New Roman" w:eastAsia="Times New Roman"/>
                <w:b w:val="false"/>
                <w:sz w:val="26"/>
              </w:rPr>
              <w:t>3510/QĐ-BHXH</w:t>
            </w:r>
          </w:p>
        </w:tc>
        <w:tc>
          <w:p/>
          <w:p>
            <w:pPr>
              <w:spacing w:after="0" w:before="0" w:lineRule="auto" w:line="276"/>
              <w:jc w:val="left"/>
            </w:pPr>
            <w:r>
              <w:rPr>
                <w:rFonts w:ascii="Times New Roman" w:hAnsi="Times New Roman" w:cs="Times New Roman" w:eastAsia="Times New Roman"/>
                <w:b w:val="false"/>
                <w:sz w:val="26"/>
              </w:rPr>
              <w:t>Quyết định phê duyệt quy trình đăng ký đóng, cấp thẻ BHYT đối với người chỉ tham gia BHYT trên Cổng Dịch vụ công theo Quyết định số 422/QĐ-TTg ngày 04/4/2022 của Thủ tướng Chính phủ phê duyệt danh mục dịch vụ công trực tuyến tích hợp, cung cấp trên Cổng Dịch vụ công Quốc gia năm 2022</w:t>
            </w:r>
          </w:p>
        </w:tc>
        <w:tc>
          <w:p/>
          <w:p>
            <w:pPr>
              <w:spacing w:after="0" w:before="0" w:lineRule="auto" w:line="276"/>
              <w:jc w:val="left"/>
            </w:pPr>
            <w:r>
              <w:rPr>
                <w:rFonts w:ascii="Times New Roman" w:hAnsi="Times New Roman" w:cs="Times New Roman" w:eastAsia="Times New Roman"/>
                <w:b w:val="false"/>
                <w:sz w:val="26"/>
              </w:rPr>
              <w:t>21-11-2022</w:t>
            </w:r>
          </w:p>
        </w:tc>
        <w:tc>
          <w:p/>
          <w:p>
            <w:pPr>
              <w:spacing w:after="0" w:before="0" w:lineRule="auto" w:line="276"/>
              <w:jc w:val="left"/>
            </w:pPr>
            <w:r>
              <w:rPr>
                <w:rFonts w:ascii="Times New Roman" w:hAnsi="Times New Roman" w:cs="Times New Roman" w:eastAsia="Times New Roman"/>
                <w:b w:val="false"/>
                <w:sz w:val="26"/>
              </w:rPr>
              <w:t>Bảo hiểm xã hội Việt Nam</w:t>
            </w:r>
          </w:p>
        </w:tc>
      </w:tr>
      <w:tr>
        <w:tc>
          <w:p/>
          <w:p>
            <w:pPr>
              <w:spacing w:after="0" w:before="0" w:lineRule="auto" w:line="276"/>
              <w:jc w:val="left"/>
            </w:pPr>
            <w:r>
              <w:rPr>
                <w:rFonts w:ascii="Times New Roman" w:hAnsi="Times New Roman" w:cs="Times New Roman" w:eastAsia="Times New Roman"/>
                <w:b w:val="false"/>
                <w:sz w:val="26"/>
              </w:rPr>
              <w:t>948/QĐ-BHXH</w:t>
            </w:r>
          </w:p>
        </w:tc>
        <w:tc>
          <w:p/>
          <w:p>
            <w:pPr>
              <w:spacing w:after="0" w:before="0" w:lineRule="auto" w:line="276"/>
              <w:jc w:val="left"/>
            </w:pPr>
            <w:r>
              <w:rPr>
                <w:rFonts w:ascii="Times New Roman" w:hAnsi="Times New Roman" w:cs="Times New Roman" w:eastAsia="Times New Roman"/>
                <w:b w:val="false"/>
                <w:sz w:val="26"/>
              </w:rPr>
              <w:t>Quyết định sửa đổi, bổ sung một số điều quy trình thu BHXH, BHYT, BHTN, BHTNLĐ - BNN; Quản lý sổ BHXH, thẻ BHYT ban hành kèm Quyết định số 595/QĐ-BHXH ngày 14/4/2017 và Quyết định số 490/QĐ-BHXH ngày 28/3/2023 của Tổng Giám đốc BHXH Việt Nam</w:t>
            </w:r>
          </w:p>
        </w:tc>
        <w:tc>
          <w:p/>
          <w:p>
            <w:pPr>
              <w:spacing w:after="0" w:before="0" w:lineRule="auto" w:line="276"/>
              <w:jc w:val="left"/>
            </w:pPr>
            <w:r>
              <w:rPr>
                <w:rFonts w:ascii="Times New Roman" w:hAnsi="Times New Roman" w:cs="Times New Roman" w:eastAsia="Times New Roman"/>
                <w:b w:val="false"/>
                <w:sz w:val="26"/>
              </w:rPr>
              <w:t>05-06-2023</w:t>
            </w:r>
          </w:p>
        </w:tc>
        <w:tc>
          <w:p/>
          <w:p>
            <w:pPr>
              <w:spacing w:after="0" w:before="0" w:lineRule="auto" w:line="276"/>
              <w:jc w:val="left"/>
            </w:pPr>
            <w:r>
              <w:rPr>
                <w:rFonts w:ascii="Times New Roman" w:hAnsi="Times New Roman" w:cs="Times New Roman" w:eastAsia="Times New Roman"/>
                <w:b w:val="false"/>
                <w:sz w:val="26"/>
              </w:rPr>
              <w:t>Bảo hiểm xã hội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yêu cầu điều kiện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Đăng ký đóng, cấp thẻ</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2025-11-27T16:43:54Z</dcterms:created>
  <dc:creator>Apache POI</dc:creator>
</cp:coreProperties>
</file>