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2514/QĐ-NHNN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Quyết định sửa đổi, bổ sung Giấy phép mở và sử dụng tài khoản ngoại tệ ở nước ngoài của doanh nghiệp đầu tư đặc biệt quan trọng theo chương trình của Chính phủ; doanh nghiệp đầu tư dưới hình thức đối tác công tư (PPP) mở tài khoản để thực hiện cam kết với bên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Bước 3: Trong thời hạn 15 ngày làm việc kể từ ngày nhận đủ hồ sơ hợp lệ, Ngân hàng Nhà nước Việt Nam xem xét cấp Quyết định sửa đổi, bố sung Giấy phép mở và sử dụng tài khoản ngoại tệ ở nước ngoài. Trong trường hợp từ chối cấp phép, Ngân hàng Nhà nước có văn bản thông báo rõ lý do</w:t>
      </w:r>
    </w:p>
    <w:p>
      <w:pPr>
        <w:spacing w:after="0" w:before="0" w:lineRule="auto" w:line="276"/>
        <w:jc w:val="both"/>
      </w:pPr>
      <w:r>
        <w:rPr>
          <w:rFonts w:ascii="Times New Roman" w:hAnsi="Times New Roman" w:cs="Times New Roman" w:eastAsia="Times New Roman"/>
          <w:b w:val="false"/>
          <w:sz w:val="26"/>
        </w:rPr>
        <w:t>- Bước 1: Doanh nghiệp thuộc diện đầu tư đặc biệt quan trong theo chương trình của Chính phủ; doanh nghiệp đầu tư dưới hình thức đối tác công tư (PPP) có nhu cầu sửa đổi, bổ sung Giấy phép mở và sử dụng tài khoản ngoại tệ ở nước ngoài để thực hiện cam kết với bên nước ngoài gửi hồ sơ đề nghị lên Ngân hàng Nhà nước Việt Nam</w:t>
      </w:r>
    </w:p>
    <w:p>
      <w:pPr>
        <w:spacing w:after="0" w:before="0" w:lineRule="auto" w:line="276"/>
        <w:jc w:val="both"/>
      </w:pPr>
      <w:r>
        <w:rPr>
          <w:rFonts w:ascii="Times New Roman" w:hAnsi="Times New Roman" w:cs="Times New Roman" w:eastAsia="Times New Roman"/>
          <w:b w:val="false"/>
          <w:sz w:val="26"/>
        </w:rPr>
        <w:t>- Bước 2: Trường hợp hồ sơ chưa đầy đủ, hợp lệ, trong thời hạn 7 ngày làm việc kể từ ngày nhận được hồ sơ, Ngân hàng Nhà nước Việt Nam có văn bản yêu cầu bổ sung hồ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Ngân hàng Nhà nước nhận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Ngân hàng Nhà nước nhận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đề nghị cấp Quyết định sửa đổi, bổ sung Giấy phép</w:t>
            </w:r>
          </w:p>
        </w:tc>
        <w:tc>
          <w:p/>
          <w:p>
            <w:pPr>
              <w:spacing w:after="0" w:before="0" w:lineRule="auto" w:line="276"/>
              <w:jc w:val="left"/>
            </w:pPr>
            <w:r>
              <w:rPr>
                <w:rFonts w:ascii="Times New Roman" w:hAnsi="Times New Roman" w:cs="Times New Roman" w:eastAsia="Times New Roman"/>
                <w:b w:val="false"/>
                <w:sz w:val="26"/>
              </w:rPr>
              <w:t>Phulucso02.doc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bản giải trình về các nội dung thay đổi kèm theo các tài liệu chứng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Bản sao kèm bản dịch tiếng Việt cam kết, thỏa thuận, hợp đồng thay đổi/Phụ lục sửa đổi đã ký với phía nước ngoài liên quan đến nội dung điều chỉnh Giấy phép mở và sử dụng tài khoản ngoại tệ ở nước ngoài (nếu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Bản sao kèm bản dịch tiếng Việt văn bản của bên nước ngoài yêu cầu phải điều chính nội dung mở tài khoản ngoại tệ ở nước ngoài trong trường hợp điều khoản này không có trong cam kết, thỏa thuận (nếu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Quyết định sửa đổi, bổ sung Giấy phép mở và sử dụng tài khoản ngoại tệ ở nước ngoài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20/2015/TT-NHNN</w:t>
            </w:r>
          </w:p>
        </w:tc>
        <w:tc>
          <w:p/>
          <w:p>
            <w:pPr>
              <w:spacing w:after="0" w:before="0" w:lineRule="auto" w:line="276"/>
              <w:jc w:val="left"/>
            </w:pPr>
            <w:r>
              <w:rPr>
                <w:rFonts w:ascii="Times New Roman" w:hAnsi="Times New Roman" w:cs="Times New Roman" w:eastAsia="Times New Roman"/>
                <w:b w:val="false"/>
                <w:sz w:val="26"/>
              </w:rPr>
              <w:t>Thông tư 20/2015/TT-NHNN</w:t>
            </w:r>
          </w:p>
        </w:tc>
        <w:tc>
          <w:p/>
          <w:p>
            <w:pPr>
              <w:spacing w:after="0" w:before="0" w:lineRule="auto" w:line="276"/>
              <w:jc w:val="left"/>
            </w:pPr>
            <w:r>
              <w:rPr>
                <w:rFonts w:ascii="Times New Roman" w:hAnsi="Times New Roman" w:cs="Times New Roman" w:eastAsia="Times New Roman"/>
                <w:b w:val="false"/>
                <w:sz w:val="26"/>
              </w:rPr>
              <w:t>28-10-2015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2025-11-27T16:44:04Z</dcterms:created>
  <dc:creator>Apache POI</dc:creator>
</cp:coreProperties>
</file>