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Quyêt định sửa đổi, bổ sung Giấy phép mở và sử dụng tài khoản ngoại tệ để thực hiện khoản vay nước ngoài của bên đi vay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Doanh nghiệp, hợp tác xã, liên hợp tác xã có nhu cầu sửa đổi, bổ sung Giấy phép mở và sử dụng tài khoản ngoại tệ ở nước ngoài để thực hiện khoản vay nước ngoài gửi hồ sơ đề nghị lên Ngân hàng nhà nước Việt Nam</w:t>
      </w:r>
    </w:p>
    <w:p>
      <w:pPr>
        <w:spacing w:after="0" w:before="0" w:lineRule="auto" w:line="276"/>
        <w:jc w:val="both"/>
      </w:pPr>
      <w:r>
        <w:rPr>
          <w:rFonts w:ascii="Times New Roman" w:hAnsi="Times New Roman" w:cs="Times New Roman" w:eastAsia="Times New Roman"/>
          <w:b w:val="false"/>
          <w:sz w:val="26"/>
        </w:rPr>
        <w:t>- Bước 2: Trường hợp hồ sơ chưa đầy đủ, hợp lệ, trong thời hạn 7 ngày làm việc kể từ ngày nhận được hồ sơ, Ngân hàng Nhà nước Việt Nam có văn bản yêu cầu bổ sung hồ sơ</w:t>
      </w:r>
    </w:p>
    <w:p>
      <w:pPr>
        <w:spacing w:after="0" w:before="0" w:lineRule="auto" w:line="276"/>
        <w:jc w:val="both"/>
      </w:pPr>
      <w:r>
        <w:rPr>
          <w:rFonts w:ascii="Times New Roman" w:hAnsi="Times New Roman" w:cs="Times New Roman" w:eastAsia="Times New Roman"/>
          <w:b w:val="false"/>
          <w:sz w:val="26"/>
        </w:rPr>
        <w:t>- Bước 3: Trong thời hạn 15 ngày làm việc kể từ ngày nhận đủ hồ sơ hợp lệ, Ngân hàng Nhà nước Việt Nam xem xét cấp Giấy phép mở và sử dụng tài khoản ngoại tệ ở nước ngoài. Trong trường hợp từ chối cấp phép, Ngân hàng nhà nước Việt Nam có văn bản thông báo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đề nghị cấp Quyết định sửa đổi, bổ sung Giấy phép.</w:t>
            </w:r>
          </w:p>
        </w:tc>
        <w:tc>
          <w:p/>
          <w:p>
            <w:pPr>
              <w:spacing w:after="0" w:before="0" w:lineRule="auto" w:line="276"/>
              <w:jc w:val="left"/>
            </w:pPr>
            <w:r>
              <w:rPr>
                <w:rFonts w:ascii="Times New Roman" w:hAnsi="Times New Roman" w:cs="Times New Roman" w:eastAsia="Times New Roman"/>
                <w:b w:val="false"/>
                <w:sz w:val="26"/>
              </w:rPr>
              <w:t>Phlcs02.doc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bản giải trình về các nội dung thay đổi kèm theo các tài liệu chứng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kèm bản dịch tiếng Việt thỏa thuận sửa đổi hợp đồng tài khoản hoặc thỏa thuận sửa đổi hợp đồng vay nước ngoài đã ký liên quan đến việc thay đổi nội dung của tài khoản ngoại tệ ở nước ngoài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Báo cáo tình hình sử dụng tài khoản ngoại tệ ở nước ngoài đến thời điểm đề nghị cấp Quyết định sửa đổi, bổ sung kèm cam kết của bên đi vay nước ngoài về tính chính xác của báo cáo.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bản xác nhận đăng ký thay đổi khoản vay nước ngoài của Ngân hàng Nhà nước Khu vực áp dụng đối với trường hợp nội dung sửa đổi, bổ sung Giấy phép liên quan đến thay đổi nội dung khoản vay nước ngoài đã được Ngân hàng Nhà nước Khu vực xác nhận đăng ký thay đổi.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sửa đổi, bổ sung Giấy phép mở và sử dụng tài khoản ngoại tệ ở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2025-11-27T16:44:12Z</dcterms:created>
  <dc:creator>Apache POI</dc:creator>
</cp:coreProperties>
</file>