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loại hình trường đại học dân lập sang loại hình trường đại học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Hội đồng quản trị trường dân lập có trách nhiệm nộp 05 bộ hồ sơ quy định tại Điều 9 của Thông tư số 45/2014/TT-BGDĐT ngày 17 tháng 12 năm 2014 của Bộ trưởng Bộ Giáo dục và Đào tạo quy định về việc chuyển đổi loại hình trường đại học dân lập sang loại hình trường đại học tư thục (Thông tư số 45/2014/TT-BGDĐT) về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30 ngày làm việc kể từ ngày nhận được hồ sơ hợp lệ, Bộ Giáo dục và Đào tạo xem xét đề án chuyển đổi, trình Thủ tướng Chính phủ ra quyết định chuyển đổi loại hình trường.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được hồ sơ hợp lệ, Bộ Giáo dục và Đào tạo xem xét đề án chuyển đổi, trình Thủ tướng Chính phủ ra quyết định chuyển đổi loại hình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được hồ sơ hợp lệ, Bộ Giáo dục và Đào tạo xem xét đề án chuyển đổi, trình Thủ tướng Chính phủ ra quyết định chuyển đổi loại hình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chuyển đổi trường dân lập sang trường tư thục do Chủ tịch Hội đồng quản trị trường dân lập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nghị của Hội đồng quản trị trường dân lập về việc chuyển đổi trường dân lập sang trường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nghị của Hội đồng quản trị trường dân lập về:  - Công nhận danh sách tổ chức, cá nhân góp vốn, phương thức bảo toàn giá trị vốn góp, xác định vốn điều lệ, giá trị mỗi cổ phần, số lượng cổ phần;  - Xác định số lượng thành viên Hội đồng quản trị nhiệm kỳ đầu tiên của trường tư thục, số lượng thành viên đại diện cho phần vốn góp;  - Tên gọi của trường tư thục sau khi được công nhận chuyển đổi (trong trường hợp cần thiết đổi tên trường).  Các Quyết nghị của Hội đồng quản trị trường dân lập được thông qua khi có trên 50% tổng số thành viên theo danh sách đồng 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của trường tư thục được Hội đồng quản trị trường dân lập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kiểm toán, kết quả định giá quy định tại Điều 4 của Thông tư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liên quan đến quyền sử dụng đất.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trường dân lập; Quyết định đổi tên trường dân lập (nếu có); Quyết định công nhận Hội đồng quản trị trường dân lập đương nhiệm; Quyết định công nhận thay đổi thành viên Hội đồng quản trị của trường dân lập (nếu có); Quyết định công nhận Hiệu trưởng trường dân lập đương nhiệm.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chuyển đổi loại hình trường của Thủ tướng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45/2014/TT-BGDĐT</w:t>
            </w:r>
          </w:p>
        </w:tc>
        <w:tc>
          <w:p/>
          <w:p>
            <w:pPr>
              <w:spacing w:after="0" w:before="0" w:lineRule="auto" w:line="276"/>
              <w:jc w:val="left"/>
            </w:pPr>
            <w:r>
              <w:rPr>
                <w:rFonts w:ascii="Times New Roman" w:hAnsi="Times New Roman" w:cs="Times New Roman" w:eastAsia="Times New Roman"/>
                <w:b w:val="false"/>
                <w:sz w:val="26"/>
              </w:rPr>
              <w:t>Quy định về việc chuyển đổi loại hình trường đại học dân lập sang loại hình trường đại học tư thục</w:t>
            </w:r>
          </w:p>
        </w:tc>
        <w:tc>
          <w:p/>
          <w:p>
            <w:pPr>
              <w:spacing w:after="0" w:before="0" w:lineRule="auto" w:line="276"/>
              <w:jc w:val="left"/>
            </w:pPr>
            <w:r>
              <w:rPr>
                <w:rFonts w:ascii="Times New Roman" w:hAnsi="Times New Roman" w:cs="Times New Roman" w:eastAsia="Times New Roman"/>
                <w:b w:val="false"/>
                <w:sz w:val="26"/>
              </w:rPr>
              <w:t>17-12-2014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Quá trình chuyển đổi không làm ảnh hưởng đến hoạt động bình thường của nhà trường, không gây khó khăn cho người học, đảm bảo quyền và lợi ích hợp pháp của người lao động của nhà trường, các cá nhân và tổ chức có liên quan.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2025-11-27T16:44:13Z</dcterms:created>
  <dc:creator>Apache POI</dc:creator>
</cp:coreProperties>
</file>