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chứng nhận cung cấp dịch vụ trò chơi điện tử G2, G3, G4 trên mạng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phải thực hiện thủ tục đề nghị sửa đổi, bổ sung Giấy chứng nhận cung cấp dịch vụ trò chơi điện tử G2, G3, G4 trên mạng đã được cấp khi có thay đổi một trong những nội dung sau đây: Tên doanh nghiệp; Tên người đại diện theo pháp luật của doanh nghiệp; Loại hình trò chơi điện tử đang cung cấp (G2, G3, G4); Địa chỉ trụ sở chính, văn phòng giao dịch; Địa chỉ đặt hoặc cho thuê máy chủ.
- Doanh nghiệp nộp 01 bộ hồ sơ đề nghị sửa đổi, bổ sung nội dung Giấy chứng nhận cung cấp dịch vụ trò chơi điện tử G2, G3, G4 trên mạng tới Sở Văn hóa, Thể thao và Du lịch/Sở Văn hóa và Thể thao tỉnh, thành phố trực thuộc Trung ương (viết tắt là Sở VHTTDL/Sở VHTT).
- Trong thời hạn 05 ngày làm việc, kể từ khi nhận được hồ sơ hợp lệ, Sở VHTTDL/Sở VHTT xem xét cấp Giấy chứng nhận sửa đổi, bổ sung cho doanh nghiệp theo mẫu quy định. Giấy chứng nhận sửa đổi, bổ sung có hiệu lực kể từ ngày cấp sửa đổi, bổ sung tới ngày hết hiệu lực của giấy chứng nhận được cấp ban đầu. Trường hợp từ chối, Sở VHTTDL/Sở VHTT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.Tài liệu, văn bản chứng minh các lý do cần sửa đổi, bổ sung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sửa đổi, bổ sung giấy chứng nhận cung cấp dịch vụ trò chơi điện tử G2, G3, G4 trên mạng theo Mẫu số 40 tại Phụ lục ban hành kèm theo Nghị định 147/2024/NĐ-CP</w:t>
            </w:r>
          </w:p>
        </w:tc>
        <w:tc>
          <w:p/>
          <w:p>
            <w:pPr>
              <w:spacing w:after="0" w:before="0" w:lineRule="auto" w:line="276"/>
              <w:jc w:val="left"/>
            </w:pPr>
            <w:r>
              <w:rPr>
                <w:rFonts w:ascii="Times New Roman" w:hAnsi="Times New Roman" w:cs="Times New Roman" w:eastAsia="Times New Roman"/>
                <w:b w:val="false"/>
                <w:sz w:val="26"/>
              </w:rPr>
              <w:t>Cacmaudoncapdiaphuong_PTTH.docx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cung cấp dịch vụ trò chơi điện tử G2, G3, G4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2025-11-27T16:44:18Z</dcterms:created>
  <dc:creator>Apache POI</dc:creator>
</cp:coreProperties>
</file>