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3031/QĐ-NHNN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tự nguyện chấm dứt hoạt động, giải thể chi nhánh, phòng giao dịch của tổ chức tài chính vi mô</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tài chính vi mô lập 01 bộ hồ sơ theo quy định gửi Ngân hàng Nhà nước chi nhánh Khu vực nơi đặt trụ sở chi nhánh, phòng giao dịch;
Bước 2. Trong thời hạn 45 ngày kể từ ngày nhận đủ hồ sơ hợp lệ, Ngân hàng Nhà nước chi nhánh Khu vực có văn bản chấp thuận đề nghị của tổ chức tài chính vi mô. Trường hợp không chấp thuận, Ngân hàng Nhà nước chi nhánh Khu vực phải trả lời bằng văn bản và nêu rõ lý do.
Bước 3. Trong thời hạn 45 ngày kể từ ngày có văn bản chấp thuận của Ngân hàng Nhà nước chi nhánh Khu vực về việc chấm dứt hoạt động, giải thể chi nhánh, phòng giao dịch, tổ chức tài chính vi mô phải tiến hành các thủ tục pháp lý theo quy định của pháp luật để chấm dứt hoạt động, giải thể chi nhánh, phòng giao dịch và có văn bản báo cáo Ngân hàng Nhà nước chi nhánh Khu vực về kết quả thực hiện và ngày chấm dứt hoạt động, giải thể.</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của tổ chức tài chính vi mô đề nghị chấm dứt hoạt động, giải thể chi nhánh, phòng giao dịch, trong đó nêu rõ: lý do chấm dứt hoạt động, giải thể; tên, địa chỉ của chi nhánh, phòng giao dịch chấm dứt hoạt động, giải thể và cam kết giải quyết các tài sản, quyền, nghĩa vụ và các lợi ích liên quan của chi nhánh, phòng giao dịch chấm dứt hoạt động, giải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hoặc Quyết định của Hội đồng thành viên tổ chức tài chính vi mô về việc chấm dứt hoạt động, giải thể chi nhánh, phòng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giải quyết các tài sản, quyền, nghĩa vụ và các lợi ích liên quan của chi nhánh, phòng giao dịch chấm dứt hoạt động, giải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chấm dứt hoạt động, giải thể chi nhánh, phòng giao dịch.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19/2025/TT-NHNN</w:t>
            </w:r>
          </w:p>
        </w:tc>
        <w:tc>
          <w:p/>
          <w:p>
            <w:pPr>
              <w:spacing w:after="0" w:before="0" w:lineRule="auto" w:line="276"/>
              <w:jc w:val="left"/>
            </w:pPr>
            <w:r>
              <w:rPr>
                <w:rFonts w:ascii="Times New Roman" w:hAnsi="Times New Roman" w:cs="Times New Roman" w:eastAsia="Times New Roman"/>
                <w:b w:val="false"/>
                <w:sz w:val="26"/>
              </w:rPr>
              <w:t>Thông tư 19/2025/TT-NHNN quy định về mạng lưới hoạt động của tổ chức tài chính vi mô</w:t>
            </w:r>
          </w:p>
        </w:tc>
        <w:tc>
          <w:p/>
          <w:p>
            <w:pPr>
              <w:spacing w:after="0" w:before="0" w:lineRule="auto" w:line="276"/>
              <w:jc w:val="left"/>
            </w:pPr>
            <w:r>
              <w:rPr>
                <w:rFonts w:ascii="Times New Roman" w:hAnsi="Times New Roman" w:cs="Times New Roman" w:eastAsia="Times New Roman"/>
                <w:b w:val="false"/>
                <w:sz w:val="26"/>
              </w:rPr>
              <w:t>31-07-2025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2025-11-27T16:44:23Z</dcterms:created>
  <dc:creator>Apache POI</dc:creator>
</cp:coreProperties>
</file>