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hành nghề tại Việt Nam của luật sư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Giấy phép hành nghề luật sư tại Việt Nam cho luật sư nước ngoài bị mất, bị rách, bị cháy hoặc vì lý do khách quan mà thông tin trên Giấy phép hành nghề bị thay đổi thì luật sư gửi trực tiếp hoặc qua dịch vụ bưu chính đến Cục Bổ trợ tư pháp, Bộ Tư pháp hoặc trực tuyến trên Cổng Dịch vụ công quốc gia văn bản đề nghị cấp lại Giấy phép hành nghề luật sư tại Việt Nam cho luật sư nước ngoài.</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văn bản đề nghị cấp lại Giấy phép hành nghề, Cục trưởng Cục Bổ trợ tư pháp, Bộ Tư pháp xem xét cấp lại Giấy phép hành nghề luật sư tại Việt Nam cho luật sư nước ngoài;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(5.000.000 đồng/hồ sơ)</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đề nghị cấp lại Giấy phép hành nghề, Cục trưởng Cục Bổ trợ tư pháp, Bộ Tư pháp xem xét cấp lại Giấy phép hành nghề luật sư tại Việt Nam cho luật sư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5.000.000 Đồng</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đề nghị cấp lại Giấy phép hành nghề, Cục trưởng Cục Bổ trợ tư pháp, Bộ Tư pháp xem xét cấp lại Giấy phép hành nghề luật sư tại Việt Nam cho luật sư nước ngoài;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(5.000.000 đồng/hồ sơ)</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đề nghị cấp lại Giấy phép hành nghề, Cục trưởng Cục Bổ trợ tư pháp, Bộ Tư pháp xem xét cấp lại Giấy phép hành nghề luật sư tại Việt Nam cho luật sư nước ngoài;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hành nghề luật sư tại Việt Nam cho luật sư nước ngoài</w:t>
            </w:r>
          </w:p>
        </w:tc>
        <w:tc>
          <w:p/>
          <w:p>
            <w:pPr>
              <w:spacing w:after="0" w:before="0" w:lineRule="auto" w:line="276"/>
              <w:jc w:val="left"/>
            </w:pPr>
            <w:r>
              <w:rPr>
                <w:rFonts w:ascii="Times New Roman" w:hAnsi="Times New Roman" w:cs="Times New Roman" w:eastAsia="Times New Roman"/>
                <w:b w:val="false"/>
                <w:sz w:val="26"/>
              </w:rPr>
              <w:t>Mauso11-PLIII-LS.docx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Bổ trợ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hành nghề tại Việt Nam của luật sư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2025-11-27T16:44:29Z</dcterms:created>
  <dc:creator>Apache POI</dc:creator>
</cp:coreProperties>
</file>