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1.001996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2514/QĐ-NHNN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mở và sử dụng tài khoản ngoại tệ ở nước ngoài của doanh nghiệp thuộc diện đầu tư đặc biệt quan trọng theo chương trình của Chính phủ; doanh nghiệp đầu tư dưới hình thức đối tác công tư (PPP) mở tài khoản để phục vụ việc thực hiện cam kết với bên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thuộc diện đầu tư đặc biệt quan trọng theo chương trình của Chính phủ; doanh nghiệp đầu tư dưới hình thức đối tác công tư (PPP) có nhu cầu mở và sử dụng tài khoản ngoại tệ ở nước ngoài gửi hồ sơ đề nghị lên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07 (bảy) ngày làm việc kể từ ngày nhận được hồ sơ, Ngân hàng Nhà nước Việt Nam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15 (mười lăm) ngày làm việc kể từ ngày nhận đủ hồ sơ hợp lệ, Ngân hàng Nhà nước Việt Nam xem xét cấp Giấy phép mở và sử dụng tài khoản ngoại tệ ở nước ngoài. Trong trường hợp từ chối cấp phép, Ngân hàng Nhà nước Việt Nam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15 ngày làm việc kể từ ngày Ngân hàng Nhà nước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Phụ lục số 01</w:t>
            </w:r>
          </w:p>
        </w:tc>
        <w:tc>
          <w:p/>
          <w:p>
            <w:pPr>
              <w:spacing w:after="0" w:before="0" w:lineRule="auto" w:line="276"/>
              <w:jc w:val="left"/>
            </w:pPr>
            <w:r>
              <w:rPr>
                <w:rFonts w:ascii="Times New Roman" w:hAnsi="Times New Roman" w:cs="Times New Roman" w:eastAsia="Times New Roman"/>
                <w:b w:val="false"/>
                <w:sz w:val="26"/>
              </w:rPr>
              <w:t>Phlc01.doc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giải trình sự cần thiết mở tài khoản ở nước ngoài kèm các tài liệu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kèm bản dịch tiếng Việt hợp đồng hoặc thỏa thuận về tài khoản đã ký với bên nước ngoài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kiến nội dung thu, chi ngoại tệ trên tài khoản ngoại tệ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mở và sử dụng tài khoản ngoại tệ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20/2015/TT-NHNN</w:t>
            </w:r>
          </w:p>
        </w:tc>
        <w:tc>
          <w:p/>
          <w:p>
            <w:pPr>
              <w:spacing w:after="0" w:before="0" w:lineRule="auto" w:line="276"/>
              <w:jc w:val="left"/>
            </w:pPr>
            <w:r>
              <w:rPr>
                <w:rFonts w:ascii="Times New Roman" w:hAnsi="Times New Roman" w:cs="Times New Roman" w:eastAsia="Times New Roman"/>
                <w:b w:val="false"/>
                <w:sz w:val="26"/>
              </w:rPr>
              <w:t>Thông tư 20/2015/TT-NHNN</w:t>
            </w:r>
          </w:p>
        </w:tc>
        <w:tc>
          <w:p/>
          <w:p>
            <w:pPr>
              <w:spacing w:after="0" w:before="0" w:lineRule="auto" w:line="276"/>
              <w:jc w:val="left"/>
            </w:pPr>
            <w:r>
              <w:rPr>
                <w:rFonts w:ascii="Times New Roman" w:hAnsi="Times New Roman" w:cs="Times New Roman" w:eastAsia="Times New Roman"/>
                <w:b w:val="false"/>
                <w:sz w:val="26"/>
              </w:rPr>
              <w:t>28-10-2015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2025-11-27T16:44:33Z</dcterms:created>
  <dc:creator>Apache POI</dc:creator>
</cp:coreProperties>
</file>