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Quyết định phát hành trò chơi điện tử G1 trên mạng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Quyết định phát hành trò chơi điện tử G1 trên mạng bị mất hoặc bị hư hại không còn sử dụng được hoặc thực hiện theo điều khoản chuyển tiếp tại khoản 4 Điều 82 Nghị định số 147/2024/NĐ-CP hoặc trong trường hợp văn bản thỏa thuận cho doanh nghiệp được phát hành trò chơi tại Việt Nam theo quy định tại khoản 2 Điều 43 Nghị định số 147/2024/NĐ-CP được tiếp tục gia hạn thì Doanh nghiệp thực hiện đề nghị cấp lại Quyết định theo Mẫu số 37 tại Phụ lục ban hành kèm theo Nghị định số 147/2024/NĐ-CP.
- Doanh nghiệp nộp 01 bộ hồ sơ tới Bộ VHTTDL (Cục Phát thanh, truyền hình và thông tin điện tử).
- Trong thời hạn 05 ngày làm việc, kể từ ngày nhận được đơn đề nghị hợp lệ, Bộ VHTTDL (Cục Phát thanh, truyền hình và thông tin điện tử) xem xét, cấp lại Quyết định theo Mẫu số 35 tại Phụ lục ban hành kèm theo Nghị định số 147/2024/NĐ-CP. Quyết định được cấp lại có nội dung chính tương tự Quyết định được đề nghị cấp lại và bao gồm thông tin: ngày cấp Quyết định lần đầu, cấp sửa đổi, bổ sung (nếu có), ngày được cấp lại, số lần cấp lại.Trường hợp từ chối, Bộ VHTTDL (Cục Phát thanh, truyền hình và thông tin điện tử)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(năm)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quyết định phát hành trò chơi điện tử G1 trên mạng theo Mẫu số 37 tại Phụ lục ban hành kèm theo Nghị định số 147/2024/NĐ-CP.</w:t>
            </w:r>
          </w:p>
        </w:tc>
        <w:tc>
          <w:p/>
          <w:p>
            <w:pPr>
              <w:spacing w:after="0" w:before="0" w:lineRule="auto" w:line="276"/>
              <w:jc w:val="left"/>
            </w:pPr>
            <w:r>
              <w:rPr>
                <w:rFonts w:ascii="Times New Roman" w:hAnsi="Times New Roman" w:cs="Times New Roman" w:eastAsia="Times New Roman"/>
                <w:b w:val="false"/>
                <w:sz w:val="26"/>
              </w:rPr>
              <w:t>Mauso37.DondenghicaplaiQDphathanhtrochoidientuG1trenmang.docx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Phát thanh, truyền hình và thông tin điện tử  Số 115 Trần Duy Hưng,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phát hành trò chơi điện tử G1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2025-11-27T16:44:46Z</dcterms:created>
  <dc:creator>Apache POI</dc:creator>
</cp:coreProperties>
</file>