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1.002017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thiết lập/thiết lập lại quan hệ giao dịch mua, bán vàng miếng với Ngân hàng Nhà nước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tín dụng, doanh nghiệp kinh doanh mua, bán vàng miếng có nhu cầu tham gia giao dịch mua, bán vàng miếng với Ngân hàng Nhà nước gửi 01 bộ hồ sơ qua đường bưu điện hoặc trực tiếp đến Ngân hàng Nhà nước (Cục Quản lý ngoại hối).</w:t>
      </w:r>
    </w:p>
    <w:p>
      <w:pPr>
        <w:spacing w:after="0" w:before="0" w:lineRule="auto" w:line="276"/>
        <w:jc w:val="both"/>
      </w:pPr>
      <w:r>
        <w:rPr>
          <w:rFonts w:ascii="Times New Roman" w:hAnsi="Times New Roman" w:cs="Times New Roman" w:eastAsia="Times New Roman"/>
          <w:b w:val="false"/>
          <w:sz w:val="26"/>
        </w:rPr>
        <w:t>- Bước 2: Trong thời hạn 05 ngày làm việc kể từ ngày nhận đủ hồ sơ hợp lệ của tổ chức tín dụng, doanh nghiệp kinh doanh mua, bán vàng miếng, Ngân hàng Nhà nước (Cục Quản lý ngoại hối) thông báo cho tổ chức tín dụng, doanh nghiệp bằng văn bản xác nhận thiết lập quan hệ giao dịch mua, bán vàng miếng hoặc thông báo bằng văn bản và nêu rõ lý do trong trường hợp từ chối thiết lập quan hệ giao dịch mua, bán vàng miếng.</w:t>
      </w:r>
    </w:p>
    <w:p>
      <w:pPr>
        <w:spacing w:after="0" w:before="0" w:lineRule="auto" w:line="276"/>
        <w:jc w:val="both"/>
      </w:pPr>
      <w:r>
        <w:rPr>
          <w:rFonts w:ascii="Times New Roman" w:hAnsi="Times New Roman" w:cs="Times New Roman" w:eastAsia="Times New Roman"/>
          <w:b w:val="false"/>
          <w:sz w:val="26"/>
        </w:rPr>
        <w:t>- Bước 3: Trong trường hợp có thay đổi nội dung các tài liệu quy định tại hồ sơ đăng ký thiết lập giao dịch, tổ chức tín dụng, doanh nghiệp kinh doanh mua, bán vàng miếng phải gửi thông báo bằng văn bản đến Ngân hàng Nhà nước (Cục Quản lý ngoại hối) trong thời hạn 05 ngày làm việc kể từ ngày có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thiết lập quan hệ giao dịch mua, bán vàng miếng với Ngân hàng Nhà nước (Phụ lục số 01)</w:t>
            </w:r>
          </w:p>
        </w:tc>
        <w:tc>
          <w:p/>
          <w:p>
            <w:pPr>
              <w:spacing w:after="0" w:before="0" w:lineRule="auto" w:line="276"/>
              <w:jc w:val="left"/>
            </w:pPr>
            <w:r>
              <w:rPr>
                <w:rFonts w:ascii="Times New Roman" w:hAnsi="Times New Roman" w:cs="Times New Roman" w:eastAsia="Times New Roman"/>
                <w:b w:val="false"/>
                <w:sz w:val="26"/>
              </w:rPr>
              <w:t>PHLC1.TT06.doc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được cấp từ sổ gốc hoặc bản sao có chứng thực hoặc bản sao kèm xuất trình bản chính để đối chiếu Giấy chứng nhận đăng ký doanh nghiệp hoặc Giấy chứng nhận đăng ký kinh doanh. Trong trường hợp người nộp hồ sơ nộp bản sao kèm xuất trình bản chính để đối chiếu, người đối chiếu có trách nhiệm xác nhận tính chính xác của bản sao so với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đăng ký mẫu chữ ký của người đại diện giao dịch của tổ chức tín dụng, doanh nghiệp (Phụ lục số 02 ban hành kèm theo Thông tư số 06/2013/TT-NHNN).</w:t>
            </w:r>
          </w:p>
        </w:tc>
        <w:tc>
          <w:p/>
          <w:p>
            <w:pPr>
              <w:spacing w:after="0" w:before="0" w:lineRule="auto" w:line="276"/>
              <w:jc w:val="left"/>
            </w:pPr>
            <w:r>
              <w:rPr>
                <w:rFonts w:ascii="Times New Roman" w:hAnsi="Times New Roman" w:cs="Times New Roman" w:eastAsia="Times New Roman"/>
                <w:b w:val="false"/>
                <w:sz w:val="26"/>
              </w:rPr>
              <w:t>PHLC2.TT06.doc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ủy quyền của tổ chức tín dụng, doanh nghiệp cho người đại diện giao dịch trong trường hợp người đại diện giao dịch là người đại diện theo ủy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xác nhận thiết lập quan hệ giao dịch mua, bán vàng miếng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29/2015/TT-NHNN</w:t>
            </w:r>
          </w:p>
        </w:tc>
        <w:tc>
          <w:p/>
          <w:p>
            <w:pPr>
              <w:spacing w:after="0" w:before="0" w:lineRule="auto" w:line="276"/>
              <w:jc w:val="left"/>
            </w:pPr>
            <w:r>
              <w:rPr>
                <w:rFonts w:ascii="Times New Roman" w:hAnsi="Times New Roman" w:cs="Times New Roman" w:eastAsia="Times New Roman"/>
                <w:b w:val="false"/>
                <w:sz w:val="26"/>
              </w:rPr>
              <w:t>Thông tư 29/2015/TT-NHNN</w:t>
            </w:r>
          </w:p>
        </w:tc>
        <w:tc>
          <w:p/>
          <w:p>
            <w:pPr>
              <w:spacing w:after="0" w:before="0" w:lineRule="auto" w:line="276"/>
              <w:jc w:val="left"/>
            </w:pPr>
            <w:r>
              <w:rPr>
                <w:rFonts w:ascii="Times New Roman" w:hAnsi="Times New Roman" w:cs="Times New Roman" w:eastAsia="Times New Roman"/>
                <w:b w:val="false"/>
                <w:sz w:val="26"/>
              </w:rPr>
              <w:t>22-12-2015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06/2013/TT-NHNN</w:t>
            </w:r>
          </w:p>
        </w:tc>
        <w:tc>
          <w:p/>
          <w:p>
            <w:pPr>
              <w:spacing w:after="0" w:before="0" w:lineRule="auto" w:line="276"/>
              <w:jc w:val="left"/>
            </w:pPr>
            <w:r>
              <w:rPr>
                <w:rFonts w:ascii="Times New Roman" w:hAnsi="Times New Roman" w:cs="Times New Roman" w:eastAsia="Times New Roman"/>
                <w:b w:val="false"/>
                <w:sz w:val="26"/>
              </w:rPr>
              <w:t>Thông tư 06/2013/TT-NHNN</w:t>
            </w:r>
          </w:p>
        </w:tc>
        <w:tc>
          <w:p/>
          <w:p>
            <w:pPr>
              <w:spacing w:after="0" w:before="0" w:lineRule="auto" w:line="276"/>
              <w:jc w:val="left"/>
            </w:pPr>
            <w:r>
              <w:rPr>
                <w:rFonts w:ascii="Times New Roman" w:hAnsi="Times New Roman" w:cs="Times New Roman" w:eastAsia="Times New Roman"/>
                <w:b w:val="false"/>
                <w:sz w:val="26"/>
              </w:rPr>
              <w:t>12-03-2013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https://thutuc.dichvucong.gov.vn/p/home/dvc-tthc-thu-tuc-hanh-chinh-chi-tiet.html?ma_thu_tuc=2915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2025-11-27T16:44:47Z</dcterms:created>
  <dc:creator>Apache POI</dc:creator>
</cp:coreProperties>
</file>