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phép cung cấp dịch vụ trò chơi điện tử G1 trên mạng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làm thủ tục đề nghị sửa đổi, bổ sung nội dung Giấy phép cung cấp dịch vụ trò chơi điện tử G1 trên mạng trong thời hạn 10 ngày kể từ khi thay đổi các nội dung sau: Tên doanh nghiệp; Tên người đại diện theo pháp luật của doanh nghiệp; Địa chỉ trụ sở chính, văn phòng giao dịch; Địa chỉ đặt hoặc thuê máy chủ.
- Doanh nghiệp nộp 01 bộ hồ sơ đề nghị sửa đổi, bổ sung Giấy phép cung cấp dịch vụ trò chơi điện tử G1 trên mạng tới Cục Phát thanh, truyền hình và thông tin điện tử (Bộ VHTTDL).
- Trong thời hạn 05 ngày làm việc, kể từ khi nhận được hồ sơ hợp lệCục Phát thanh, truyền hình và thông tin điện tử thẩm định và cấp Giấy phép sửa đổi, bổ sung cho doanh nghiệp. Giấy phép sửa đổi, bổ sung có hiệu lực kể từ ngày cấp sửa đổi, bổ sung tới ngày hết hiệu lực của Giấy phép được cấp ban đầu. 
Trường hợp từ chối, Bộ VHTTDL (Cục Phát thanh, truyền hình và thông tin điện tử)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(năm)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(năm)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(năm)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sửa đổi, bổ sung giấy phép cung cấp dịch vụ trò chơi điện tử G1 trên mạng</w:t>
            </w:r>
          </w:p>
        </w:tc>
        <w:tc>
          <w:p/>
          <w:p>
            <w:pPr>
              <w:spacing w:after="0" w:before="0" w:lineRule="auto" w:line="276"/>
              <w:jc w:val="left"/>
            </w:pPr>
            <w:r>
              <w:rPr>
                <w:rFonts w:ascii="Times New Roman" w:hAnsi="Times New Roman" w:cs="Times New Roman" w:eastAsia="Times New Roman"/>
                <w:b w:val="false"/>
                <w:sz w:val="26"/>
              </w:rPr>
              <w:t>Mauso31.DonsuadoibosungGPtrochoidientuG1trenmang.docx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văn bản chứng minh các lý do cần sửa đổi, bổ sung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Phát thanh, truyền hình và thông tin điện tử  Số 115 Trần Duy Hưng,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cung cấp dịch vụ trò chơi điện tử G1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2025-11-27T16:45:02Z</dcterms:created>
  <dc:creator>Apache POI</dc:creator>
</cp:coreProperties>
</file>