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nội dung đăng ký hoạt động của tổ chức hành nghề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sự thay đổi tên, địa chỉ trụ sở, chi nhánh, văn phòng giao dịch, lĩnh vực hành nghề, danh sách luật sư thành viên, người đại diện theo pháp luật của tổ chức hành nghề luật sư, các nội dung khác trong hồ sơ đăng ký hoạt động thì trong thời hạn mười ngày làm việc, kể từ ngày quyết định thay đổi, tổ chức hành nghề luật sư phải đăng ký với Sở Tư pháp nơi tổ chức hành nghề luật sư đăng ký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((hồ sơ))</w:t>
              <w:br/>
              <w:t>File đính kèm: 130-BTC.signed.pdf</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quyết định thay đổi, tổ chức hành nghề luật sư phải đăng ký với Sở Tư pháp nơi tổ chức hành nghề luật sư đăng ký hoạt động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quyết định thay đổi, tổ chức hành nghề luật sư phải đăng ký với Sở Tư pháp nơi tổ chức hành nghề luật sư đăng ký hoạt động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((hồ sơ))</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quyết định thay đổi, tổ chức hành nghề luật sư phải đăng ký với Sở Tư pháp nơi tổ chức hành nghề luật sư đăng ký hoạt động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nội dung đăng ký hoạt động của tổ chức hành nghề luật sư (theo mẫu tại Thông tư 03/2024/TT-BTP)</w:t>
            </w:r>
          </w:p>
        </w:tc>
        <w:tc>
          <w:p/>
          <w:p>
            <w:pPr>
              <w:spacing w:after="0" w:before="0" w:lineRule="auto" w:line="276"/>
              <w:jc w:val="left"/>
            </w:pPr>
            <w:r>
              <w:rPr>
                <w:rFonts w:ascii="Times New Roman" w:hAnsi="Times New Roman" w:cs="Times New Roman" w:eastAsia="Times New Roman"/>
                <w:b w:val="false"/>
                <w:sz w:val="26"/>
              </w:rPr>
              <w:t>6. TP-LS-06. De nghi thay doi DKHD TCHNLS.doc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hoạt động cho Văn phòng luật sư/Công ty TNHH 1 thành viên, Giấy đăng ký hoạt động cho Công ty Luật hợp danh/Công ty TNHH 2 thành viên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05-08-2019</w:t>
            </w:r>
          </w:p>
        </w:tc>
        <w:tc>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2025-11-27T16:45:11Z</dcterms:created>
  <dc:creator>Apache POI</dc:creator>
</cp:coreProperties>
</file>