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2514/QĐ-NHNN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Quyết định sửa đổi, bổ sung Giấy phép mở và sử dụng tài khoản ngoại tệ ở nước ngoài để đáp ứng các điều kiện xin cấp phép thành lập và hoạt động cho văn phòng đại diện, chi nhánh, ngân hàng 100% vốn ở nước ngoài của tổ chức tín dụng được phép, tổ chức kinh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tín dụng được phép, tổ chức kinh tế có nhu cầu  sửa đổi, bổ sung Giấy phép mở và sử dụng tài khoản ngoại tệ ở nước ngoài để đáp ứng các điều kiện xin cấp phép thành lập và hoạt động cho chi nhánh, văn phòng đại diện, ngân hàng 100% vốn nước ngoài gửi hồ sơ đề nghị lên Ngân hàng Nhà nước Việt Nam.</w:t>
      </w:r>
    </w:p>
    <w:p>
      <w:pPr>
        <w:spacing w:after="0" w:before="0" w:lineRule="auto" w:line="276"/>
        <w:jc w:val="both"/>
      </w:pPr>
      <w:r>
        <w:rPr>
          <w:rFonts w:ascii="Times New Roman" w:hAnsi="Times New Roman" w:cs="Times New Roman" w:eastAsia="Times New Roman"/>
          <w:b w:val="false"/>
          <w:sz w:val="26"/>
        </w:rPr>
        <w:t>+ Bước 2: Trường hợp hồ sơ chưa đầy đủ, hợp lệ, trong thời hạn 07 (bảy) ngày làm việc kể từ ngày nhận được hồ sơ, Ngân hàng Nhà nước Việt Nam có văn bản yêu cầu bổ sung hồ sơ.</w:t>
      </w:r>
    </w:p>
    <w:p>
      <w:pPr>
        <w:spacing w:after="0" w:before="0" w:lineRule="auto" w:line="276"/>
        <w:jc w:val="both"/>
      </w:pPr>
      <w:r>
        <w:rPr>
          <w:rFonts w:ascii="Times New Roman" w:hAnsi="Times New Roman" w:cs="Times New Roman" w:eastAsia="Times New Roman"/>
          <w:b w:val="false"/>
          <w:sz w:val="26"/>
        </w:rPr>
        <w:t>+ Bước 3: Trong thời hạn 15 (mười lăm) ngày làm việc kể từ ngày nhận đủ hồ sơ hợp lệ, Ngân hàng Nhà nước Việt Nam xem xét cấp Giấy phép mở và sử dụng tài khoản ngoại tệ ở nước ngoài. Trong trường hợp từ chối cấp phép, Ngân hàng Nhà nước Việt Nam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15 ngày làm việc kể từ ngày Ngân hàng Nhà nước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15 ngày làm việc kể từ ngày Ngân hàng Nhà nước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Quyết định sửa đổi, bổ sung Giấy phép theo Phụ lục số 02</w:t>
            </w:r>
          </w:p>
        </w:tc>
        <w:tc>
          <w:p/>
          <w:p>
            <w:pPr>
              <w:spacing w:after="0" w:before="0" w:lineRule="auto" w:line="276"/>
              <w:jc w:val="left"/>
            </w:pPr>
            <w:r>
              <w:rPr>
                <w:rFonts w:ascii="Times New Roman" w:hAnsi="Times New Roman" w:cs="Times New Roman" w:eastAsia="Times New Roman"/>
                <w:b w:val="false"/>
                <w:sz w:val="26"/>
              </w:rPr>
              <w:t>Phulucso02.doc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giải trình về các nội dung thay đổi kèm theo các tài liệu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văn bản của cơ quan có thẩm quyền nước ngoài cho phép thành lập và hoạt động chi nhánh, văn phòng đại diện ở nước ngoài (đối với việc thay đổi mục đích sử dụng tài khoản, bổ sung hạn mức chuyển tiền hàng năm, gia hạn thời hạn sử dụng tài khoản sau khi đã được cơ quan có thẩm quyền ở nước ngoài cấp phép thành lập và hoạt động chính thức cho chi nhánh, văn phòng đại diện ở nước ngoài của tổ chức kinh tế, cấp phép thành lập và hoạt động chính thức cho văn phòng đại diện ở nước ngoài của tổ chức tín dụng được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Quyết định phê duyệt chi phí hàng năm cho hoạt động của chi nhánh, văn phòng đại diện tại nước ngoài (đối với việc thay đổi mục đích sử dụng tài khoản, bổ sung hạn mức chuyển tiền hàng năm, gia hạn thời hạn sử dụng tài khoản sau khi đã được cơ quan có thẩm quyền ở nước ngoài cấp phép thành lập và hoạt động chính thức cho chi nhánh, văn phòng đại diện ở nước ngoài của tổ chức kinh tế, cấp phép thành lập và hoạt động chính thức cho văn phòng đại diện ở nước ngoài của tổ chức tín dụng được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văn bản của cơ quan có thẩm quyền tại nước ngoài cho phép gia hạn thời hạn hoạt động tạm thời của chi nhánh, văn phòng đại diện ở nước ngoài, ngân hàng 100% vốn ở nước ngoài hoặc văn bản giải trình về sự cần thiết phải gia hạn tài khoản trong trường hợp cơ quan có thẩm quyền ở nước ngoài không cấp Giấy phép thành lập và hoạt động tạm thời của chi nhánh, văn phòng đại diện ở nước ngoài, ngân hàng 100% vốn ở nước ngoài (đối với trường hợp xin gia hạn tài khoản)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Quyết định sửa đổi, bổ sung Giấy phép mở và sử dụng tài khoản ngoại tệ ở nước ngoài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20/2015/TT-NHNN</w:t>
            </w:r>
          </w:p>
        </w:tc>
        <w:tc>
          <w:p/>
          <w:p>
            <w:pPr>
              <w:spacing w:after="0" w:before="0" w:lineRule="auto" w:line="276"/>
              <w:jc w:val="left"/>
            </w:pPr>
            <w:r>
              <w:rPr>
                <w:rFonts w:ascii="Times New Roman" w:hAnsi="Times New Roman" w:cs="Times New Roman" w:eastAsia="Times New Roman"/>
                <w:b w:val="false"/>
                <w:sz w:val="26"/>
              </w:rPr>
              <w:t>Thông tư 20/2015/TT-NHNN</w:t>
            </w:r>
          </w:p>
        </w:tc>
        <w:tc>
          <w:p/>
          <w:p>
            <w:pPr>
              <w:spacing w:after="0" w:before="0" w:lineRule="auto" w:line="276"/>
              <w:jc w:val="left"/>
            </w:pPr>
            <w:r>
              <w:rPr>
                <w:rFonts w:ascii="Times New Roman" w:hAnsi="Times New Roman" w:cs="Times New Roman" w:eastAsia="Times New Roman"/>
                <w:b w:val="false"/>
                <w:sz w:val="26"/>
              </w:rPr>
              <w:t>28-10-2015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2025-11-27T16:45:12Z</dcterms:created>
  <dc:creator>Apache POI</dc:creator>
</cp:coreProperties>
</file>