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đánh giá, nghiệm thu, công nhận kết quả thực hiện nhiệm vụ hằng năm, định kỳ thuộc Đề án 844</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30 ngày làm việc kể từ ngày kết thúc thời hạn hợp đồng thực hiện nhiệm vụ, tổ chức chủ trì thực hiện nhiệm vụ có trách nhiệm gửi hồ sơ đánh giá, nghiệm thu về Bộ Khoa học và Công nghệ (qua Văn phòng các Chương trình khoa học và công nghệ quốc gia).
- Trong thời hạn 10 ngày kể từ ngày nhận được hồ sơ đánh giá, nghiệm thu, Bộ Khoa học và Công nghệ quyết định thành lập hội đồng đánh giá, nghiệm thu kết quả thực hiện nhiệm vụ.
- Căn cứ biên bản đánh giá, nghiệm thu, Bộ Khoa học và Công nghệ thực hiện thủ tục thanh lý hợp đồng.
- Đối với kết quả thực hiện nhiệm vụ được đánh giá đạt yêu cầu, trong thời hạn 05 ngày làm việc kể từ ngày hoàn tất thanh lý hợp đồng, Bộ Khoa học và Công nghệ quyết định công nhận kết quả thực hiện nhiệm vụ.</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Thành lập hội đồng đánh giá, nghiệm thu kết quả thực hiện nhiệm vụ: 10 ngày kể từ ngày nhận được hồ sơ đánh giá, nghiệm thu.  - Quyết định công nhận kết quả thực hiện nhiệm vụ: 05 ngày làm việc kể từ ngày hoàn tất thanh lý hợp đồng.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Thành lập hội đồng đánh giá, nghiệm thu kết quả thực hiện nhiệm vụ: 10 ngày kể từ ngày nhận được hồ sơ đánh giá, nghiệm thu. - Quyết định công nhận kết quả thực hiện nhiệm vụ: 05 ngày làm việc kể từ ngày hoàn tất thanh lý hợp đồng.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đánh giá, nghiệm thu;</w:t>
            </w:r>
          </w:p>
        </w:tc>
        <w:tc>
          <w:p/>
          <w:p>
            <w:pPr>
              <w:spacing w:after="0" w:before="0" w:lineRule="auto" w:line="276"/>
              <w:jc w:val="left"/>
            </w:pPr>
            <w:r>
              <w:rPr>
                <w:rFonts w:ascii="Times New Roman" w:hAnsi="Times New Roman" w:cs="Times New Roman" w:eastAsia="Times New Roman"/>
                <w:b w:val="false"/>
                <w:sz w:val="26"/>
              </w:rPr>
              <w:t>Mẫu C3.3-ĐNNT.docx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thực hiện nhiệm vụ;</w:t>
            </w:r>
          </w:p>
        </w:tc>
        <w:tc>
          <w:p/>
          <w:p>
            <w:pPr>
              <w:spacing w:after="0" w:before="0" w:lineRule="auto" w:line="276"/>
              <w:jc w:val="left"/>
            </w:pPr>
            <w:r>
              <w:rPr>
                <w:rFonts w:ascii="Times New Roman" w:hAnsi="Times New Roman" w:cs="Times New Roman" w:eastAsia="Times New Roman"/>
                <w:b w:val="false"/>
                <w:sz w:val="26"/>
              </w:rPr>
              <w:t>Mẫu C3.1-BCKQ.docx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Sản phẩm, kết quả thực hiện nhiệm vụ và tài liệu liên quan theo thuyết minh nhiệm vụ và hợp đồng thực hiện nhiệm vụ đã được phê duyệt.</w:t>
            </w:r>
          </w:p>
        </w:tc>
        <w:tc>
          <w:p/>
          <w:p>
            <w:pPr>
              <w:spacing w:after="0" w:before="0" w:lineRule="auto" w:line="276"/>
              <w:jc w:val="left"/>
            </w:pPr>
            <w:r>
              <w:rPr>
                <w:rFonts w:ascii="Times New Roman" w:hAnsi="Times New Roman" w:cs="Times New Roman" w:eastAsia="Times New Roman"/>
                <w:b w:val="false"/>
                <w:sz w:val="26"/>
              </w:rPr>
              <w:t>Mẫu C3.7-QĐCN.docx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họp của Hội đồng đánh giá, nghiệm thu kết quả thực hiện nhiệm vụ hàng năm, định kỳ thuộc Đề án 844 hoặc Quyết định công nhận kết quả thực hiện nhiệm vụ hàng năm, định kỳ thuộc Đề án 844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844/QĐ-BKHCN</w:t>
            </w:r>
          </w:p>
        </w:tc>
        <w:tc>
          <w:p/>
          <w:p>
            <w:pPr>
              <w:spacing w:after="0" w:before="0" w:lineRule="auto" w:line="276"/>
              <w:jc w:val="left"/>
            </w:pPr>
            <w:r>
              <w:rPr>
                <w:rFonts w:ascii="Times New Roman" w:hAnsi="Times New Roman" w:cs="Times New Roman" w:eastAsia="Times New Roman"/>
                <w:b w:val="false"/>
                <w:sz w:val="26"/>
              </w:rPr>
              <w:t>Quyết định 844/QĐ-BKHCN</w:t>
            </w:r>
          </w:p>
        </w:tc>
        <w:tc>
          <w:p/>
          <w:p>
            <w:pPr>
              <w:spacing w:after="0" w:before="0" w:lineRule="auto" w:line="276"/>
              <w:jc w:val="left"/>
            </w:pPr>
            <w:r>
              <w:rPr>
                <w:rFonts w:ascii="Times New Roman" w:hAnsi="Times New Roman" w:cs="Times New Roman" w:eastAsia="Times New Roman"/>
                <w:b w:val="false"/>
                <w:sz w:val="26"/>
              </w:rPr>
              <w:t>18-05-2016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01/2018/TT-BKHCN</w:t>
            </w:r>
          </w:p>
        </w:tc>
        <w:tc>
          <w:p/>
          <w:p>
            <w:pPr>
              <w:spacing w:after="0" w:before="0" w:lineRule="auto" w:line="276"/>
              <w:jc w:val="left"/>
            </w:pPr>
            <w:r>
              <w:rPr>
                <w:rFonts w:ascii="Times New Roman" w:hAnsi="Times New Roman" w:cs="Times New Roman" w:eastAsia="Times New Roman"/>
                <w:b w:val="false"/>
                <w:sz w:val="26"/>
              </w:rPr>
              <w:t>Thông tư 01/2018/TT-BKHCN</w:t>
            </w:r>
          </w:p>
        </w:tc>
        <w:tc>
          <w:p/>
          <w:p>
            <w:pPr>
              <w:spacing w:after="0" w:before="0" w:lineRule="auto" w:line="276"/>
              <w:jc w:val="left"/>
            </w:pPr>
            <w:r>
              <w:rPr>
                <w:rFonts w:ascii="Times New Roman" w:hAnsi="Times New Roman" w:cs="Times New Roman" w:eastAsia="Times New Roman"/>
                <w:b w:val="false"/>
                <w:sz w:val="26"/>
              </w:rPr>
              <w:t>12-04-2018</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Đánh giá, nghiệm thu, công nhận kết quả thực hiện nhiệm vụ hằng năm, định kỳ thuộc Đề án 844</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2025-11-27T16:45:12Z</dcterms:created>
  <dc:creator>Apache POI</dc:creator>
</cp:coreProperties>
</file>