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điều chỉnh đóng BHXH, BHYT, BHTN, BHTNLĐ, BNN; cấp sổ BHXH, thẻ BHYT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Thu BHXH, BHYT, BHTN, BH tai nạn lao động, BNN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1. NLĐ
1.1. NLĐ là người tham gia BHXH bắt buộc, BHYT, BHTN, BHTNLĐ, BNN: Lập hồ sơ theo quy định tại điểm 1 mục Thành phần hồ sơ; nộp hồ sơ cho đơn vị quản lý.
1.2. Người đi làm việc ở nước ngoài theo hợp đồng: 
a) Trường hợp đóng qua đơn vị đưa NLĐ đi làm việc ở nước ngoài: Lập hồ sơ theo quy định tại điểm 2 mục Thành phần hồ sơ và nộp hồ sơ, đóng tiền cho đơn vị quản lý.
b) Trường hợp đóng trực tiếp cho cơ quan BHXH nơi thường trú của NLĐ trước khi đi làm việc ở nước ngoài: Lập hồ sơ theo quy định tại điểm 2 mục Thành phần hồ sơ và nộp hồ sơ, đóng tiền cho cơ quan BHXH.
c) Đối với NLĐ được gia hạn hợp đồng hoặc ký HĐLĐ mới ngay tại nước tiếp nhận lao động truy nộp sau khi về nước: Lập hồ sơ theo quy định tại điểm 2 mục Thành phần hồ sơ và nộp hồ sơ, đóng tiền cho đơn vị hoặc cho cơ quan BHXH.
1.3. Người hưởng chế độ phu nhân hoặc phu quân tại cơ quan đại diện Việt Nam ở nước ngoài: Lập hồ sơ theo quy định tại điểm 3 Mục Thành phần hồ sơ và nộp hồ sơ, đóng tiền cho đơn vị quản lý. 
1.4. Đối với NLĐ và người đang bảo lưu thời gian đóng BHXH bắt buộc còn thiếu tối đa 06 tháng để đủ điều kiện hưởng lương hưu hoặc trợ cấp tuất hàng tháng: NLĐ hoặc thân nhân NLĐ chết lập hồ sơ theo quy định tại điểm 4 Mục Thành phần hồ sơ và nộp hồ sơ, đóng tiền vào quỹ hưu trí và tử tuất cho cơ quan BHXH nơi thường trú hoặc thông qua đơn vị trước khi nghỉ việc.
1.5. NLĐ có từ 02 sổ BHXH đóng trùng BHXH, BHTN: Lập hồ sơ theo quy định tại điểm 5 mục Thành phần hồ sơ: Nộp hồ sơ trực tiếp cho cơ quan BHXH nơi quản lý hoặc nơi cư trú.</w:t>
      </w:r>
    </w:p>
    <w:p>
      <w:pPr>
        <w:spacing w:after="0" w:before="0" w:lineRule="auto" w:line="276"/>
        <w:jc w:val="both"/>
      </w:pPr>
      <w:r>
        <w:rPr>
          <w:rFonts w:ascii="Times New Roman" w:hAnsi="Times New Roman" w:cs="Times New Roman" w:eastAsia="Times New Roman"/>
          <w:b w:val="false"/>
          <w:sz w:val="26"/>
        </w:rPr>
        <w:t>2. Đơn vị SDLĐ
2.1. Kê khai hồ sơ theo quy định tại điểm 6 mục Thành phần hồ sơ và nộp cho cơ quan BHXH;
2.2. Nộp tiền đóng của đơn vị (bao gồm tiền đóng thuộc trách nhiệm của đơn vị SDLĐ và NLĐ), tiền đóng của NLĐ đi làm việc ở nước ngoài theo hợp đồng, tiền đóng của phu quân hoặc phu nhân, tiền đóng của NLĐ còn thiếu tối đa 06 tháng để đủ điều kiện hưởng lương hưu hoặc trợ cấp tuất hàng tháng đóng thông qua đơn vị cho cơ quan BHXH</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Nhận kết quả gồm: Sổ BHXH, thẻ BHYT; Quyết định hoàn trả; Tiền hoàn trả thời gian đóng trùng BHXH, BHTN (nếu có).</w:t>
      </w:r>
    </w:p>
    <w:p>
      <w:pPr>
        <w:shd w:val="clear" w:color="auto" w:fill="F2F6F9"/>
        <w:spacing w:after="0" w:before="120" w:lineRule="auto" w:line="276"/>
        <w:jc w:val="both"/>
      </w:pPr>
      <w:r>
        <w:rPr>
          <w:rFonts w:ascii="Times New Roman" w:hAnsi="Times New Roman" w:cs="Times New Roman" w:eastAsia="Times New Roman"/>
          <w:b w:val="true"/>
          <w:sz w:val="26"/>
        </w:rPr>
        <w:t>Thời hạn giải quyết</w:t>
      </w:r>
    </w:p>
    <w:p>
      <w:pPr>
        <w:spacing w:after="0" w:before="0" w:lineRule="auto" w:line="276"/>
        <w:jc w:val="both"/>
      </w:pPr>
      <w:r>
        <w:rPr>
          <w:rFonts w:ascii="Times New Roman" w:hAnsi="Times New Roman" w:cs="Times New Roman" w:eastAsia="Times New Roman"/>
          <w:b w:val="false"/>
          <w:sz w:val="26"/>
        </w:rPr>
        <w:t>Kể từ ngày cơ quan BHXH nhận đủ hồ sơ theo quy định:
- Trường hợp cấp sổ BHXH, thẻ BHYT mới: Không quá 05 ngày.
- Trường hợp tạm dừng đóng vào quỹ hưu trí, tử tuất: Không quá 05 ngày.
- Trường hợp vi phạm quy định của pháp luật về đóng BHXH, BHYT, BHTN, BHTNLĐ-BNN: Không quá 10 ngày.
- Trường hợp điều chỉnh tăng tiền lương đóng BHXH, BHYT, BHTN, BHTNLĐ-BNN: Không quá 03 ngày.
- Trường hợp xác nhận sổ BHXH: Không quá 05 ngày.
- Trường hợp hoàn trả do đóng trùng BHXH, BHTN: Không quá 10 ngày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NLĐ và đơn vị SDLĐ nộp hồ sơ cho cơ quan BHXH bằng một trong các hình thức sau:
a) Trực tiếp tại Bộ phận Một cửa của cơ quan BHXH;
b) Thông qua dịch vụ bưu chính; 
c) Trực tuyến tại Cổng Dịch vụ công quốc gia hoặc Cổng Dịch vụ công BHXH Việt Nam hoặc Tổ chức I-VAN.
2. Đóng tiền theo quy định
3. Nhận kết quả giải quyết: theo hình thức đã đăng ký.</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NLĐ và đơn vị SDLĐ nộp hồ sơ cho cơ quan BHXH bằng một trong các hình thức sau:
a) Trực tiếp tại Bộ phận Một cửa của cơ quan BHXH;
b) Thông qua dịch vụ bưu chính; 
c) Trực tuyến tại Cổng Dịch vụ công quốc gia hoặc Cổng Dịch vụ công BHXH Việt Nam hoặc Tổ chức I-VAN.
2. Đóng tiền theo quy định
3. Nhận kết quả giải quyết: theo hình thức đã đăng ký.</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NLĐ và đơn vị SDLĐ nộp hồ sơ cho cơ quan BHXH bằng một trong các hình thức sau:
a) Trực tiếp tại Bộ phận Một cửa của cơ quan BHXH;
b) Thông qua dịch vụ bưu chính; 
c) Trực tuyến tại Cổng Dịch vụ công quốc gia hoặc Cổng Dịch vụ công BHXH Việt Nam hoặc Tổ chức I-VAN.
2. Đóng tiền theo quy định
3. Nhận kết quả giải quyết: theo hình thức đã đăng ký.</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Đối với người tham gia BHXH bắt buộc, BHYT, BHTN, BHTNLĐ, BNN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tham gia điều chỉnh thông tin BHXH, BHYT (Mẫu TK1-TS) đối với người tham gia lần đầu hoặc có mã số BHXH nhưng chưa đủ thông tin</w:t>
            </w:r>
          </w:p>
        </w:tc>
        <w:tc>
          <w:p/>
          <w:p>
            <w:pPr>
              <w:spacing w:after="0" w:before="0" w:lineRule="auto" w:line="276"/>
              <w:jc w:val="left"/>
            </w:pPr>
            <w:r>
              <w:rPr>
                <w:rFonts w:ascii="Times New Roman" w:hAnsi="Times New Roman" w:cs="Times New Roman" w:eastAsia="Times New Roman"/>
                <w:b w:val="false"/>
                <w:sz w:val="26"/>
              </w:rPr>
              <w:t>Mẫu TK1-TS.docx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NLĐ được hưởng quyền lợi BHYT cao hơn, bổ sung Giấy tờ chứng minh (nếu có) theo Phụ lục 03 ban hành kèm theo Quyết định số 948/QĐ-BHXH ngày 05/6/2023 của Tổng Giám đốc Bảo hiểm xã hội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2. Đối với người đi làm việc ở nước ngoài theo hợp đồng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tham gia điều chỉnh thông tin BHXH, BHYT (Mẫu TK1-TS) đối với người tham gia lần đầu hoặc có mã số BHXH nhưng chưa đủ thông tin</w:t>
            </w:r>
          </w:p>
        </w:tc>
        <w:tc>
          <w:p/>
          <w:p>
            <w:pPr>
              <w:spacing w:after="0" w:before="0" w:lineRule="auto" w:line="276"/>
              <w:jc w:val="left"/>
            </w:pPr>
            <w:r>
              <w:rPr>
                <w:rFonts w:ascii="Times New Roman" w:hAnsi="Times New Roman" w:cs="Times New Roman" w:eastAsia="Times New Roman"/>
                <w:b w:val="false"/>
                <w:sz w:val="26"/>
              </w:rPr>
              <w:t>Mẫu TK1-TS.docx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lao động có thời hạn ở nước ngoài hoặc Hợp đồng lao động được gia hạn kèm theo văn bản gia hạn Hợp đồng lao động hoặc Hợp đồng lao động được ký mới tại nước tiếp nhận lao động theo hợp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3. Đối với người hưởng chế độ phu nhân hoặc phu quân tại cơ quan đại diện Việt Nam ở nước ngoài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tham gia điều chỉnh thông tin BHXH, BHYT (Mẫu TK1-TS) đối với người tham gia lần đầu hoặc có mã số BHXH nhưng chưa đủ thông tin.</w:t>
            </w:r>
          </w:p>
        </w:tc>
        <w:tc>
          <w:p/>
          <w:p>
            <w:pPr>
              <w:spacing w:after="0" w:before="0" w:lineRule="auto" w:line="276"/>
              <w:jc w:val="left"/>
            </w:pPr>
            <w:r>
              <w:rPr>
                <w:rFonts w:ascii="Times New Roman" w:hAnsi="Times New Roman" w:cs="Times New Roman" w:eastAsia="Times New Roman"/>
                <w:b w:val="false"/>
                <w:sz w:val="26"/>
              </w:rPr>
              <w:t>Mẫu TK1-TS.docx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4. NLĐ và người đang bảo lưu thời gian đóng BHXH bắt buộc còn thiếu tối đa 06 tháng để đủ điều kiện hưởng lương hưu hoặc trợ cấp tuất hằng tháng, NLĐ hoặc thân nhân NLĐ chết kèm theo các giấy tờ</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tham gia điều chỉnh thông tin BHXH, BHYT (Mẫu TK1-TS) đối với người tham gia có mã số BHXH nhưng chưa đủ thông tin</w:t>
            </w:r>
          </w:p>
        </w:tc>
        <w:tc>
          <w:p/>
          <w:p>
            <w:pPr>
              <w:spacing w:after="0" w:before="0" w:lineRule="auto" w:line="276"/>
              <w:jc w:val="left"/>
            </w:pPr>
            <w:r>
              <w:rPr>
                <w:rFonts w:ascii="Times New Roman" w:hAnsi="Times New Roman" w:cs="Times New Roman" w:eastAsia="Times New Roman"/>
                <w:b w:val="false"/>
                <w:sz w:val="26"/>
              </w:rPr>
              <w:t>Mẫu TK1-TS.docx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Sổ BHXH của NLĐ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5. Đối với NLĐ có từ 02 sổ BHXH trở lên có thời gian đóng BHXH, BHTN trùng nhau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tham gia, điều chỉnh thông tin BHXH, BHYT (Mẫu TK1-TS)</w:t>
            </w:r>
          </w:p>
        </w:tc>
        <w:tc>
          <w:p/>
          <w:p>
            <w:pPr>
              <w:spacing w:after="0" w:before="0" w:lineRule="auto" w:line="276"/>
              <w:jc w:val="left"/>
            </w:pPr>
            <w:r>
              <w:rPr>
                <w:rFonts w:ascii="Times New Roman" w:hAnsi="Times New Roman" w:cs="Times New Roman" w:eastAsia="Times New Roman"/>
                <w:b w:val="false"/>
                <w:sz w:val="26"/>
              </w:rPr>
              <w:t>Mẫu TK1-TS.docx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sổ BHXH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6. Đối với đơn vị SDLĐ</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khai đơn vị tham gia, điều chỉnh thông tin BHXH, BHYT (Mẫu TK3-TS)</w:t>
            </w:r>
          </w:p>
        </w:tc>
        <w:tc>
          <w:p/>
          <w:p>
            <w:pPr>
              <w:spacing w:after="0" w:before="0" w:lineRule="auto" w:line="276"/>
              <w:jc w:val="left"/>
            </w:pPr>
            <w:r>
              <w:rPr>
                <w:rFonts w:ascii="Times New Roman" w:hAnsi="Times New Roman" w:cs="Times New Roman" w:eastAsia="Times New Roman"/>
                <w:b w:val="false"/>
                <w:sz w:val="26"/>
              </w:rPr>
              <w:t>Mẫu TK3-TS.docx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Báo cáo tình hình sử dụng lao động và danh sách tham gia BHXH, BHYT, BHTN (Mẫu D02-LT)</w:t>
            </w:r>
          </w:p>
        </w:tc>
        <w:tc>
          <w:p/>
          <w:p>
            <w:pPr>
              <w:spacing w:after="0" w:before="0" w:lineRule="auto" w:line="276"/>
              <w:jc w:val="left"/>
            </w:pPr>
            <w:r>
              <w:rPr>
                <w:rFonts w:ascii="Times New Roman" w:hAnsi="Times New Roman" w:cs="Times New Roman" w:eastAsia="Times New Roman"/>
                <w:b w:val="false"/>
                <w:sz w:val="26"/>
              </w:rPr>
              <w:t>Mẫu D02-LT.docx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sao văn bản của cơ quan nhà nước có thẩm quyền liên quan đến điều chỉnh thông tin của đơn vị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Hồ sơ của NLĐ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Sổ BHXH, Quyết định về việc hoàn trả tiền thu BHXH, BHYT, BHTN, BHTNLĐ, BNN, Thẻ BHYT, Tiền hoàn trả thời gian đóng trùng BHXH, BHTN, Quyết định hoàn trả (mẫu C16-TS) và Tiền hoàn trả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	</w:t>
            </w:r>
          </w:p>
        </w:tc>
        <w:tc>
          <w:p/>
          <w:p>
            <w:pPr>
              <w:spacing w:after="0" w:before="0" w:lineRule="auto" w:line="276"/>
              <w:jc w:val="left"/>
            </w:pPr>
            <w:r>
              <w:rPr>
                <w:rFonts w:ascii="Times New Roman" w:hAnsi="Times New Roman" w:cs="Times New Roman" w:eastAsia="Times New Roman"/>
                <w:b w:val="false"/>
                <w:sz w:val="26"/>
              </w:rPr>
              <w:t>An toàn, vệ sinh lao động</w:t>
            </w:r>
          </w:p>
        </w:tc>
        <w:tc>
          <w:p/>
          <w:p>
            <w:pPr>
              <w:spacing w:after="0" w:before="0" w:lineRule="auto" w:line="276"/>
              <w:jc w:val="left"/>
            </w:pPr>
            <w:r>
              <w:rPr>
                <w:rFonts w:ascii="Times New Roman" w:hAnsi="Times New Roman" w:cs="Times New Roman" w:eastAsia="Times New Roman"/>
                <w:b w:val="false"/>
                <w:sz w:val="26"/>
              </w:rPr>
              <w:t>25-06-2015</w:t>
            </w:r>
          </w:p>
        </w:tc>
        <w:tc>
          <w:p/>
        </w:tc>
      </w:tr>
      <w:tr>
        <w:tc>
          <w:p/>
          <w:p>
            <w:pPr>
              <w:spacing w:after="0" w:before="0" w:lineRule="auto" w:line="276"/>
              <w:jc w:val="left"/>
            </w:pPr>
            <w:r>
              <w:rPr>
                <w:rFonts w:ascii="Times New Roman" w:hAnsi="Times New Roman" w:cs="Times New Roman" w:eastAsia="Times New Roman"/>
                <w:b w:val="false"/>
                <w:sz w:val="26"/>
              </w:rPr>
              <w:t>38/2013/QH13</w:t>
            </w:r>
          </w:p>
        </w:tc>
        <w:tc>
          <w:p/>
          <w:p>
            <w:pPr>
              <w:spacing w:after="0" w:before="0" w:lineRule="auto" w:line="276"/>
              <w:jc w:val="left"/>
            </w:pPr>
            <w:r>
              <w:rPr>
                <w:rFonts w:ascii="Times New Roman" w:hAnsi="Times New Roman" w:cs="Times New Roman" w:eastAsia="Times New Roman"/>
                <w:b w:val="false"/>
                <w:sz w:val="26"/>
              </w:rPr>
              <w:t>LUẬT  Việc làm</w:t>
            </w:r>
          </w:p>
        </w:tc>
        <w:tc>
          <w:p/>
          <w:p>
            <w:pPr>
              <w:spacing w:after="0" w:before="0" w:lineRule="auto" w:line="276"/>
              <w:jc w:val="left"/>
            </w:pPr>
            <w:r>
              <w:rPr>
                <w:rFonts w:ascii="Times New Roman" w:hAnsi="Times New Roman" w:cs="Times New Roman" w:eastAsia="Times New Roman"/>
                <w:b w:val="false"/>
                <w:sz w:val="26"/>
              </w:rPr>
              <w:t>16-11-2013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28/2015/NĐ-CP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12-03-2015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28/2015/TT-BLĐTBXH</w:t>
            </w:r>
          </w:p>
        </w:tc>
        <w:tc>
          <w:p/>
          <w:p>
            <w:pPr>
              <w:spacing w:after="0" w:before="0" w:lineRule="auto" w:line="276"/>
              <w:jc w:val="left"/>
            </w:pPr>
            <w:r>
              <w:rPr>
                <w:rFonts w:ascii="Times New Roman" w:hAnsi="Times New Roman" w:cs="Times New Roman" w:eastAsia="Times New Roman"/>
                <w:b w:val="false"/>
                <w:sz w:val="26"/>
              </w:rPr>
              <w:t>THÔNG TƯ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31-07-2015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115/2015/NĐ-CP</w:t>
            </w:r>
          </w:p>
        </w:tc>
        <w:tc>
          <w:p/>
          <w:p>
            <w:pPr>
              <w:spacing w:after="0" w:before="0" w:lineRule="auto" w:line="276"/>
              <w:jc w:val="left"/>
            </w:pPr>
            <w:r>
              <w:rPr>
                <w:rFonts w:ascii="Times New Roman" w:hAnsi="Times New Roman" w:cs="Times New Roman" w:eastAsia="Times New Roman"/>
                <w:b w:val="false"/>
                <w:sz w:val="26"/>
              </w:rPr>
              <w:t>Nghị định 115/2015/NĐ-CP - Quy định chi tiết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11-11-2015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59/2015/TT-BLĐTBXH</w:t>
            </w:r>
          </w:p>
        </w:tc>
        <w:tc>
          <w:p/>
          <w:p>
            <w:pPr>
              <w:spacing w:after="0" w:before="0" w:lineRule="auto" w:line="276"/>
              <w:jc w:val="left"/>
            </w:pPr>
            <w:r>
              <w:rPr>
                <w:rFonts w:ascii="Times New Roman" w:hAnsi="Times New Roman" w:cs="Times New Roman" w:eastAsia="Times New Roman"/>
                <w:b w:val="false"/>
                <w:sz w:val="26"/>
              </w:rPr>
              <w:t>Thông tư 59/2015/TT-BLĐTBXH - Quy định chi tiết và hướng dẫn thi hành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25/2008/QH12</w:t>
            </w:r>
          </w:p>
        </w:tc>
        <w:tc>
          <w:p/>
          <w:p>
            <w:pPr>
              <w:spacing w:after="0" w:before="0" w:lineRule="auto" w:line="276"/>
              <w:jc w:val="left"/>
            </w:pPr>
            <w:r>
              <w:rPr>
                <w:rFonts w:ascii="Times New Roman" w:hAnsi="Times New Roman" w:cs="Times New Roman" w:eastAsia="Times New Roman"/>
                <w:b w:val="false"/>
                <w:sz w:val="26"/>
              </w:rPr>
              <w:t>Luật 25/2008/QH12 - Bảo hiểm y tế</w:t>
            </w:r>
          </w:p>
        </w:tc>
        <w:tc>
          <w:p/>
          <w:p>
            <w:pPr>
              <w:spacing w:after="0" w:before="0" w:lineRule="auto" w:line="276"/>
              <w:jc w:val="left"/>
            </w:pPr>
            <w:r>
              <w:rPr>
                <w:rFonts w:ascii="Times New Roman" w:hAnsi="Times New Roman" w:cs="Times New Roman" w:eastAsia="Times New Roman"/>
                <w:b w:val="false"/>
                <w:sz w:val="26"/>
              </w:rPr>
              <w:t>14-11-2008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01/2013/TT-BVHTTDL</w:t>
            </w:r>
          </w:p>
        </w:tc>
        <w:tc>
          <w:p/>
          <w:p>
            <w:pPr>
              <w:spacing w:after="0" w:before="0" w:lineRule="auto" w:line="276"/>
              <w:jc w:val="left"/>
            </w:pPr>
            <w:r>
              <w:rPr>
                <w:rFonts w:ascii="Times New Roman" w:hAnsi="Times New Roman" w:cs="Times New Roman" w:eastAsia="Times New Roman"/>
                <w:b w:val="false"/>
                <w:sz w:val="26"/>
              </w:rPr>
              <w:t>01/2013/TT-BVHTTDL</w:t>
            </w:r>
          </w:p>
        </w:tc>
        <w:tc>
          <w:p/>
          <w:p>
            <w:pPr>
              <w:spacing w:after="0" w:before="0" w:lineRule="auto" w:line="276"/>
              <w:jc w:val="left"/>
            </w:pPr>
            <w:r>
              <w:rPr>
                <w:rFonts w:ascii="Times New Roman" w:hAnsi="Times New Roman" w:cs="Times New Roman" w:eastAsia="Times New Roman"/>
                <w:b w:val="false"/>
                <w:sz w:val="26"/>
              </w:rPr>
              <w:t>02-01-2013</w:t>
            </w:r>
          </w:p>
        </w:tc>
        <w:tc>
          <w:p/>
        </w:tc>
      </w:tr>
      <w:tr>
        <w:tc>
          <w:p/>
          <w:p>
            <w:pPr>
              <w:spacing w:after="0" w:before="0" w:lineRule="auto" w:line="276"/>
              <w:jc w:val="left"/>
            </w:pPr>
            <w:r>
              <w:rPr>
                <w:rFonts w:ascii="Times New Roman" w:hAnsi="Times New Roman" w:cs="Times New Roman" w:eastAsia="Times New Roman"/>
                <w:b w:val="false"/>
                <w:sz w:val="26"/>
              </w:rPr>
              <w:t>888/QĐ-BHXH</w:t>
            </w:r>
          </w:p>
        </w:tc>
        <w:tc>
          <w:p/>
          <w:p>
            <w:pPr>
              <w:spacing w:after="0" w:before="0" w:lineRule="auto" w:line="276"/>
              <w:jc w:val="left"/>
            </w:pPr>
            <w:r>
              <w:rPr>
                <w:rFonts w:ascii="Times New Roman" w:hAnsi="Times New Roman" w:cs="Times New Roman" w:eastAsia="Times New Roman"/>
                <w:b w:val="false"/>
                <w:sz w:val="26"/>
              </w:rPr>
              <w:t>Sửa đổi, bổ sung một số điều Quy trình thu bảo hiểm xã hội, bảo hiểm y tế, bảo hiểm thất nghiệp, bảo hiệm tai nạn lao động, bệnh nghề nghiệp; quản lý sổ bảo hiểm xã hội, thẻ bảo hiểm y tế ban hành kèm theo Quyết định số 595/QĐ-BHXH ngày 14/04/2017 của Tổng Giám đốc Bảo hiểm Xã hội Việt Nam</w:t>
            </w:r>
          </w:p>
        </w:tc>
        <w:tc>
          <w:p/>
          <w:p>
            <w:pPr>
              <w:spacing w:after="0" w:before="0" w:lineRule="auto" w:line="276"/>
              <w:jc w:val="left"/>
            </w:pPr>
            <w:r>
              <w:rPr>
                <w:rFonts w:ascii="Times New Roman" w:hAnsi="Times New Roman" w:cs="Times New Roman" w:eastAsia="Times New Roman"/>
                <w:b w:val="false"/>
                <w:sz w:val="26"/>
              </w:rPr>
              <w:t>16-07-2018</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r>
        <w:tc>
          <w:p/>
          <w:p>
            <w:pPr>
              <w:spacing w:after="0" w:before="0" w:lineRule="auto" w:line="276"/>
              <w:jc w:val="left"/>
            </w:pPr>
            <w:r>
              <w:rPr>
                <w:rFonts w:ascii="Times New Roman" w:hAnsi="Times New Roman" w:cs="Times New Roman" w:eastAsia="Times New Roman"/>
                <w:b w:val="false"/>
                <w:sz w:val="26"/>
              </w:rPr>
              <w:t>838/QĐ-BHXH</w:t>
            </w:r>
          </w:p>
        </w:tc>
        <w:tc>
          <w:p/>
          <w:p>
            <w:pPr>
              <w:spacing w:after="0" w:before="0" w:lineRule="auto" w:line="276"/>
              <w:jc w:val="left"/>
            </w:pPr>
            <w:r>
              <w:rPr>
                <w:rFonts w:ascii="Times New Roman" w:hAnsi="Times New Roman" w:cs="Times New Roman" w:eastAsia="Times New Roman"/>
                <w:b w:val="false"/>
                <w:sz w:val="26"/>
              </w:rPr>
              <w:t>ban hành quy trình giao dịch điện tử trong lĩnh vực bảo hiểm xã hội, bảo hiểm y tế, bảo hiểm thất nghiệp</w:t>
            </w:r>
          </w:p>
        </w:tc>
        <w:tc>
          <w:p/>
          <w:p>
            <w:pPr>
              <w:spacing w:after="0" w:before="0" w:lineRule="auto" w:line="276"/>
              <w:jc w:val="left"/>
            </w:pPr>
            <w:r>
              <w:rPr>
                <w:rFonts w:ascii="Times New Roman" w:hAnsi="Times New Roman" w:cs="Times New Roman" w:eastAsia="Times New Roman"/>
                <w:b w:val="false"/>
                <w:sz w:val="26"/>
              </w:rPr>
              <w:t>29-05-2017</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r>
        <w:tc>
          <w:p/>
          <w:p>
            <w:pPr>
              <w:spacing w:after="0" w:before="0" w:lineRule="auto" w:line="276"/>
              <w:jc w:val="left"/>
            </w:pPr>
            <w:r>
              <w:rPr>
                <w:rFonts w:ascii="Times New Roman" w:hAnsi="Times New Roman" w:cs="Times New Roman" w:eastAsia="Times New Roman"/>
                <w:b w:val="false"/>
                <w:sz w:val="26"/>
              </w:rPr>
              <w:t>505/QĐ-BHXH</w:t>
            </w:r>
          </w:p>
        </w:tc>
        <w:tc>
          <w:p/>
          <w:p>
            <w:pPr>
              <w:spacing w:after="0" w:before="0" w:lineRule="auto" w:line="276"/>
              <w:jc w:val="left"/>
            </w:pPr>
            <w:r>
              <w:rPr>
                <w:rFonts w:ascii="Times New Roman" w:hAnsi="Times New Roman" w:cs="Times New Roman" w:eastAsia="Times New Roman"/>
                <w:b w:val="false"/>
                <w:sz w:val="26"/>
              </w:rPr>
              <w:t>Quyết định sửa đổi, bổ sung một số điều Quy trình thu BHXH, BHYT, BHTN, bảo hiểm TNLĐ-BNN; quản lý sổ BHXH, thẻ BHYT ban hành kèm theo Quyết định số 595/QĐ-BHXH ngày 14/4/2017 của Tổng Giám đốc BHXH Việt Nam</w:t>
            </w:r>
          </w:p>
        </w:tc>
        <w:tc>
          <w:p/>
          <w:p>
            <w:pPr>
              <w:spacing w:after="0" w:before="0" w:lineRule="auto" w:line="276"/>
              <w:jc w:val="left"/>
            </w:pPr>
            <w:r>
              <w:rPr>
                <w:rFonts w:ascii="Times New Roman" w:hAnsi="Times New Roman" w:cs="Times New Roman" w:eastAsia="Times New Roman"/>
                <w:b w:val="false"/>
                <w:sz w:val="26"/>
              </w:rPr>
              <w:t>27-03-2020</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r>
        <w:tc>
          <w:p/>
          <w:p>
            <w:pPr>
              <w:spacing w:after="0" w:before="0" w:lineRule="auto" w:line="276"/>
              <w:jc w:val="left"/>
            </w:pPr>
            <w:r>
              <w:rPr>
                <w:rFonts w:ascii="Times New Roman" w:hAnsi="Times New Roman" w:cs="Times New Roman" w:eastAsia="Times New Roman"/>
                <w:b w:val="false"/>
                <w:sz w:val="26"/>
              </w:rPr>
              <w:t>46/2014/QH13</w:t>
            </w:r>
          </w:p>
        </w:tc>
        <w:tc>
          <w:p/>
          <w:p>
            <w:pPr>
              <w:spacing w:after="0" w:before="0" w:lineRule="auto" w:line="276"/>
              <w:jc w:val="left"/>
            </w:pPr>
            <w:r>
              <w:rPr>
                <w:rFonts w:ascii="Times New Roman" w:hAnsi="Times New Roman" w:cs="Times New Roman" w:eastAsia="Times New Roman"/>
                <w:b w:val="false"/>
                <w:sz w:val="26"/>
              </w:rPr>
              <w:t>Luật 46/2014/QH13</w:t>
            </w:r>
          </w:p>
        </w:tc>
        <w:tc>
          <w:p/>
          <w:p>
            <w:pPr>
              <w:spacing w:after="0" w:before="0" w:lineRule="auto" w:line="276"/>
              <w:jc w:val="left"/>
            </w:pPr>
            <w:r>
              <w:rPr>
                <w:rFonts w:ascii="Times New Roman" w:hAnsi="Times New Roman" w:cs="Times New Roman" w:eastAsia="Times New Roman"/>
                <w:b w:val="false"/>
                <w:sz w:val="26"/>
              </w:rPr>
              <w:t>13-06-2014</w:t>
            </w:r>
          </w:p>
        </w:tc>
        <w:tc>
          <w:p/>
        </w:tc>
      </w:tr>
      <w:tr>
        <w:tc>
          <w:p/>
          <w:p>
            <w:pPr>
              <w:spacing w:after="0" w:before="0" w:lineRule="auto" w:line="276"/>
              <w:jc w:val="left"/>
            </w:pPr>
            <w:r>
              <w:rPr>
                <w:rFonts w:ascii="Times New Roman" w:hAnsi="Times New Roman" w:cs="Times New Roman" w:eastAsia="Times New Roman"/>
                <w:b w:val="false"/>
                <w:sz w:val="26"/>
              </w:rPr>
              <w:t>88/2020/NĐ-CP</w:t>
            </w:r>
          </w:p>
        </w:tc>
        <w:tc>
          <w:p/>
          <w:p>
            <w:pPr>
              <w:spacing w:after="0" w:before="0" w:lineRule="auto" w:line="276"/>
              <w:jc w:val="left"/>
            </w:pPr>
            <w:r>
              <w:rPr>
                <w:rFonts w:ascii="Times New Roman" w:hAnsi="Times New Roman" w:cs="Times New Roman" w:eastAsia="Times New Roman"/>
                <w:b w:val="false"/>
                <w:sz w:val="26"/>
              </w:rPr>
              <w:t>Nghị định 88/2020/NĐ-CP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58/2020/NĐ-CP</w:t>
            </w:r>
          </w:p>
        </w:tc>
        <w:tc>
          <w:p/>
          <w:p>
            <w:pPr>
              <w:spacing w:after="0" w:before="0" w:lineRule="auto" w:line="276"/>
              <w:jc w:val="left"/>
            </w:pPr>
            <w:r>
              <w:rPr>
                <w:rFonts w:ascii="Times New Roman" w:hAnsi="Times New Roman" w:cs="Times New Roman" w:eastAsia="Times New Roman"/>
                <w:b w:val="false"/>
                <w:sz w:val="26"/>
              </w:rPr>
              <w:t>Nghị định 58/2020/NĐ-CP</w:t>
            </w:r>
          </w:p>
        </w:tc>
        <w:tc>
          <w:p/>
          <w:p>
            <w:pPr>
              <w:spacing w:after="0" w:before="0" w:lineRule="auto" w:line="276"/>
              <w:jc w:val="left"/>
            </w:pPr>
            <w:r>
              <w:rPr>
                <w:rFonts w:ascii="Times New Roman" w:hAnsi="Times New Roman" w:cs="Times New Roman" w:eastAsia="Times New Roman"/>
                <w:b w:val="false"/>
                <w:sz w:val="26"/>
              </w:rPr>
              <w:t>27-05-2020</w:t>
            </w:r>
          </w:p>
        </w:tc>
        <w:tc>
          <w:p/>
        </w:tc>
      </w:tr>
      <w:tr>
        <w:tc>
          <w:p/>
          <w:p>
            <w:pPr>
              <w:spacing w:after="0" w:before="0" w:lineRule="auto" w:line="276"/>
              <w:jc w:val="left"/>
            </w:pPr>
            <w:r>
              <w:rPr>
                <w:rFonts w:ascii="Times New Roman" w:hAnsi="Times New Roman" w:cs="Times New Roman" w:eastAsia="Times New Roman"/>
                <w:b w:val="false"/>
                <w:sz w:val="26"/>
              </w:rPr>
              <w:t>146/2018/NĐ-CP</w:t>
            </w:r>
          </w:p>
        </w:tc>
        <w:tc>
          <w:p/>
          <w:p>
            <w:pPr>
              <w:spacing w:after="0" w:before="0" w:lineRule="auto" w:line="276"/>
              <w:jc w:val="left"/>
            </w:pPr>
            <w:r>
              <w:rPr>
                <w:rFonts w:ascii="Times New Roman" w:hAnsi="Times New Roman" w:cs="Times New Roman" w:eastAsia="Times New Roman"/>
                <w:b w:val="false"/>
                <w:sz w:val="26"/>
              </w:rPr>
              <w:t>Nghị định 146/2018/NĐ-CP</w:t>
            </w:r>
          </w:p>
        </w:tc>
        <w:tc>
          <w:p/>
          <w:p>
            <w:pPr>
              <w:spacing w:after="0" w:before="0" w:lineRule="auto" w:line="276"/>
              <w:jc w:val="left"/>
            </w:pPr>
            <w:r>
              <w:rPr>
                <w:rFonts w:ascii="Times New Roman" w:hAnsi="Times New Roman" w:cs="Times New Roman" w:eastAsia="Times New Roman"/>
                <w:b w:val="false"/>
                <w:sz w:val="26"/>
              </w:rPr>
              <w:t>17-10-2018</w:t>
            </w:r>
          </w:p>
        </w:tc>
        <w:tc>
          <w:p/>
        </w:tc>
      </w:tr>
      <w:tr>
        <w:tc>
          <w:p/>
          <w:p>
            <w:pPr>
              <w:spacing w:after="0" w:before="0" w:lineRule="auto" w:line="276"/>
              <w:jc w:val="left"/>
            </w:pPr>
            <w:r>
              <w:rPr>
                <w:rFonts w:ascii="Times New Roman" w:hAnsi="Times New Roman" w:cs="Times New Roman" w:eastAsia="Times New Roman"/>
                <w:b w:val="false"/>
                <w:sz w:val="26"/>
              </w:rPr>
              <w:t>1040/QĐ-BHXH</w:t>
            </w:r>
          </w:p>
        </w:tc>
        <w:tc>
          <w:p/>
          <w:p>
            <w:pPr>
              <w:spacing w:after="0" w:before="0" w:lineRule="auto" w:line="276"/>
              <w:jc w:val="left"/>
            </w:pPr>
            <w:r>
              <w:rPr>
                <w:rFonts w:ascii="Times New Roman" w:hAnsi="Times New Roman" w:cs="Times New Roman" w:eastAsia="Times New Roman"/>
                <w:b w:val="false"/>
                <w:sz w:val="26"/>
              </w:rPr>
              <w:t>1040/QĐ-BHXH ban hành mẫu báo cáo tình hình sử dụng lao động và danh sách tham gia bảo hiểm xã hội, bảo hiểm y tế, bảo hiểm thất nghiệp</w:t>
            </w:r>
          </w:p>
        </w:tc>
        <w:tc>
          <w:p/>
          <w:p>
            <w:pPr>
              <w:spacing w:after="0" w:before="0" w:lineRule="auto" w:line="276"/>
              <w:jc w:val="left"/>
            </w:pPr>
            <w:r>
              <w:rPr>
                <w:rFonts w:ascii="Times New Roman" w:hAnsi="Times New Roman" w:cs="Times New Roman" w:eastAsia="Times New Roman"/>
                <w:b w:val="false"/>
                <w:sz w:val="26"/>
              </w:rPr>
              <w:t>18-08-2020</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490/QĐ-BHXH</w:t>
            </w:r>
          </w:p>
        </w:tc>
        <w:tc>
          <w:p/>
          <w:p>
            <w:pPr>
              <w:spacing w:after="0" w:before="0" w:lineRule="auto" w:line="276"/>
              <w:jc w:val="left"/>
            </w:pPr>
            <w:r>
              <w:rPr>
                <w:rFonts w:ascii="Times New Roman" w:hAnsi="Times New Roman" w:cs="Times New Roman" w:eastAsia="Times New Roman"/>
                <w:b w:val="false"/>
                <w:sz w:val="26"/>
              </w:rPr>
              <w:t>Quyết định số 490/QĐ-BHXH ngày 28 tháng 3 năm 2023 Tổng Giám đốc Bảo hiểm xã hội Việt Nam về sửa đổi, bổ sung một số điều của Quy trình thu bảo hiểm xã hội, bảo hiểm y tế, bảo hiểm thất nghiệp, bảo hiểm tai nạn lao động, bệnh nghề nghiệp; quản lý sổ bảo hiểm xã hội, thẻ bảo hiểm y tế ban hành kèm theo Quyết định số 595/QĐ-BHXH ngày 14 tháng 4 năm 2017 của Tổng Giám đốc Bảo hiểm xã hội Việt Nam và sửa đổi, bổ sung Điều 1 của Quyết định số 505/QĐ-BHXH ngày 27 tháng 3 năm 2020 của Tổng Giám đốc Bảo hiểm xã hội Việt Nam</w:t>
            </w:r>
          </w:p>
        </w:tc>
        <w:tc>
          <w:p/>
          <w:p>
            <w:pPr>
              <w:spacing w:after="0" w:before="0" w:lineRule="auto" w:line="276"/>
              <w:jc w:val="left"/>
            </w:pPr>
            <w:r>
              <w:rPr>
                <w:rFonts w:ascii="Times New Roman" w:hAnsi="Times New Roman" w:cs="Times New Roman" w:eastAsia="Times New Roman"/>
                <w:b w:val="false"/>
                <w:sz w:val="26"/>
              </w:rPr>
              <w:t>28-03-2023</w:t>
            </w:r>
          </w:p>
        </w:tc>
        <w:tc>
          <w:p/>
          <w:p>
            <w:pPr>
              <w:spacing w:after="0" w:before="0" w:lineRule="auto" w:line="276"/>
              <w:jc w:val="left"/>
            </w:pPr>
            <w:r>
              <w:rPr>
                <w:rFonts w:ascii="Times New Roman" w:hAnsi="Times New Roman" w:cs="Times New Roman" w:eastAsia="Times New Roman"/>
                <w:b w:val="false"/>
                <w:sz w:val="26"/>
              </w:rPr>
              <w:t>Đơn vị</w:t>
            </w:r>
          </w:p>
        </w:tc>
      </w:tr>
      <w:tr>
        <w:tc>
          <w:p/>
          <w:p>
            <w:pPr>
              <w:spacing w:after="0" w:before="0" w:lineRule="auto" w:line="276"/>
              <w:jc w:val="left"/>
            </w:pPr>
            <w:r>
              <w:rPr>
                <w:rFonts w:ascii="Times New Roman" w:hAnsi="Times New Roman" w:cs="Times New Roman" w:eastAsia="Times New Roman"/>
                <w:b w:val="false"/>
                <w:sz w:val="26"/>
              </w:rPr>
              <w:t>948/QĐ-BHXH</w:t>
            </w:r>
          </w:p>
        </w:tc>
        <w:tc>
          <w:p/>
          <w:p>
            <w:pPr>
              <w:spacing w:after="0" w:before="0" w:lineRule="auto" w:line="276"/>
              <w:jc w:val="left"/>
            </w:pPr>
            <w:r>
              <w:rPr>
                <w:rFonts w:ascii="Times New Roman" w:hAnsi="Times New Roman" w:cs="Times New Roman" w:eastAsia="Times New Roman"/>
                <w:b w:val="false"/>
                <w:sz w:val="26"/>
              </w:rPr>
              <w:t>Quyết định sửa đổi, bổ sung một số điều quy trình thu BHXH, BHYT, BHTN, BHTNLĐ - BNN; Quản lý sổ BHXH, thẻ BHYT ban hành kèm Quyết định số 595/QĐ-BHXH ngày 14/4/2017 và Quyết định số 490/QĐ-BHXH ngày 28/3/2023 của Tổng Giám đốc BHXH Việt Nam</w:t>
            </w:r>
          </w:p>
        </w:tc>
        <w:tc>
          <w:p/>
          <w:p>
            <w:pPr>
              <w:spacing w:after="0" w:before="0" w:lineRule="auto" w:line="276"/>
              <w:jc w:val="left"/>
            </w:pPr>
            <w:r>
              <w:rPr>
                <w:rFonts w:ascii="Times New Roman" w:hAnsi="Times New Roman" w:cs="Times New Roman" w:eastAsia="Times New Roman"/>
                <w:b w:val="false"/>
                <w:sz w:val="26"/>
              </w:rPr>
              <w:t>05-06-2023</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30 ngày kể từ ngày ký HĐLĐ, Quyết định tuyển dụng đơn vị SDLĐ phải nộp toàn bộ hồ sơ theo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2025-11-27T16:45:24Z</dcterms:created>
  <dc:creator>Apache POI</dc:creator>
</cp:coreProperties>
</file>