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1.002055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Thay đổi người đại diện theo pháp luật của Văn phòng luật sư, công ty luật trách nhiệm hữu hạn một thành viên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Luật sư</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Văn phòng luật sư, công ty luật trách nhiệm hữu hạn một thành viên thay đổi người đại diện theo pháp luật thì trong thời hạn 10 ngày kể từ ngày quyết định thay đổi, phải gửi hồ sơ qua dịch vụ bưu chính hoặc trực tiếp đến Sở Tư pháp tỉnh, thành phố trực thuộc trung ương nơi đăng ký hoạt động hoặc trực tuyến trên Cổng Dịch vụ công quốc gia.</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hợp lệ, Sở Tư pháp cấp lại Giấy đăng ký hoạt động cho văn phòng luật sư, công ty luật trách nhiệm hữu hạn một thành viên trong đó ghi rõ nội dung thay đổi người đại diện theo pháp luật; trường hợp từ chối phải thông báo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(50.000 đồng/hồ sơ)</w:t>
              <w:br/>
              <w:t>File đính kèm: 130-BTC.signed.pdf</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hợp lệ, Sở Tư pháp cấp lại Giấy đăng ký hoạt động cho văn phòng luật sư, công ty luật trách nhiệm hữu hạn một thành viên trong đó ghi rõ nội dung thay đổi người đại diện theo pháp luật; trường hợp từ chối phải thông báo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t>Lệ phí : 50.000 Đồng</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hợp lệ, Sở Tư pháp cấp lại Giấy đăng ký hoạt động cho văn phòng luật sư, công ty luật trách nhiệm hữu hạn một thành viên trong đó ghi rõ nội dung thay đổi người đại diện theo pháp luật; trường hợp từ chối phải thông báo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(50.000 đồng/hồ sơ)</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hợp lệ, Sở Tư pháp cấp lại Giấy đăng ký hoạt động cho văn phòng luật sư, công ty luật trách nhiệm hữu hạn một thành viên trong đó ghi rõ nội dung thay đổi người đại diện theo pháp luật; trường hợp từ chối phải thông báo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thay đổi nội dung đăng ký hoạt động của tổ chức hành nghề luật sư (theo mẫu tại Thông tư 03/2024/TT-BTP)</w:t>
            </w:r>
          </w:p>
        </w:tc>
        <w:tc>
          <w:p/>
          <w:p>
            <w:pPr>
              <w:spacing w:after="0" w:before="0" w:lineRule="auto" w:line="276"/>
              <w:jc w:val="left"/>
            </w:pPr>
            <w:r>
              <w:rPr>
                <w:rFonts w:ascii="Times New Roman" w:hAnsi="Times New Roman" w:cs="Times New Roman" w:eastAsia="Times New Roman"/>
                <w:b w:val="false"/>
                <w:sz w:val="26"/>
              </w:rPr>
              <w:t>6. TP-LS-06. De nghi thay doi DKHD TCHNLS.doc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chính hoặc bản sao điện tử văn bản thỏa thuận giữa người đại diện theo pháp luật cũ và người dự kiến là đại diện theo pháp luật đối với việc thực hiện các quyền, nghĩa vụ của văn phòng luật sư, công ty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kèm bàn chính để đối chiếu hoặc bản sao điện tử hoặc bản sao điện tử có chứng thực từ bản chính hoặc bản sao có chứng thực Thẻ luật sư của người dự kiến là đại diện theo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đăng ký hoạt động cho Văn phòng luật sư/Công ty TNHH 1 thành viên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123/2013/NĐ-CP</w:t>
            </w:r>
          </w:p>
        </w:tc>
        <w:tc>
          <w:p/>
          <w:p>
            <w:pPr>
              <w:spacing w:after="0" w:before="0" w:lineRule="auto" w:line="276"/>
              <w:jc w:val="left"/>
            </w:pPr>
            <w:r>
              <w:rPr>
                <w:rFonts w:ascii="Times New Roman" w:hAnsi="Times New Roman" w:cs="Times New Roman" w:eastAsia="Times New Roman"/>
                <w:b w:val="false"/>
                <w:sz w:val="26"/>
              </w:rPr>
              <w:t>Nghị định 123/2013/NĐ-CP</w:t>
            </w:r>
          </w:p>
        </w:tc>
        <w:tc>
          <w:p/>
          <w:p>
            <w:pPr>
              <w:spacing w:after="0" w:before="0" w:lineRule="auto" w:line="276"/>
              <w:jc w:val="left"/>
            </w:pPr>
            <w:r>
              <w:rPr>
                <w:rFonts w:ascii="Times New Roman" w:hAnsi="Times New Roman" w:cs="Times New Roman" w:eastAsia="Times New Roman"/>
                <w:b w:val="false"/>
                <w:sz w:val="26"/>
              </w:rPr>
              <w:t>14-10-2013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65/2006/QH11</w:t>
            </w:r>
          </w:p>
        </w:tc>
        <w:tc>
          <w:p/>
          <w:p>
            <w:pPr>
              <w:spacing w:after="0" w:before="0" w:lineRule="auto" w:line="276"/>
              <w:jc w:val="left"/>
            </w:pPr>
            <w:r>
              <w:rPr>
                <w:rFonts w:ascii="Times New Roman" w:hAnsi="Times New Roman" w:cs="Times New Roman" w:eastAsia="Times New Roman"/>
                <w:b w:val="false"/>
                <w:sz w:val="26"/>
              </w:rPr>
              <w:t>Luật 65/2006/QH11</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47/2019/TT-BTC</w:t>
            </w:r>
          </w:p>
        </w:tc>
        <w:tc>
          <w:p/>
          <w:p>
            <w:pPr>
              <w:spacing w:after="0" w:before="0" w:lineRule="auto" w:line="276"/>
              <w:jc w:val="left"/>
            </w:pPr>
            <w:r>
              <w:rPr>
                <w:rFonts w:ascii="Times New Roman" w:hAnsi="Times New Roman" w:cs="Times New Roman" w:eastAsia="Times New Roman"/>
                <w:b w:val="false"/>
                <w:sz w:val="26"/>
              </w:rPr>
              <w:t>Thông tư 47/2019/TT-BTC</w:t>
            </w:r>
          </w:p>
        </w:tc>
        <w:tc>
          <w:p/>
          <w:p>
            <w:pPr>
              <w:spacing w:after="0" w:before="0" w:lineRule="auto" w:line="276"/>
              <w:jc w:val="left"/>
            </w:pPr>
            <w:r>
              <w:rPr>
                <w:rFonts w:ascii="Times New Roman" w:hAnsi="Times New Roman" w:cs="Times New Roman" w:eastAsia="Times New Roman"/>
                <w:b w:val="false"/>
                <w:sz w:val="26"/>
              </w:rPr>
              <w:t>05-08-2019</w:t>
            </w:r>
          </w:p>
        </w:tc>
        <w:tc>
          <w:p/>
        </w:tc>
      </w:tr>
      <w:tr>
        <w:tc>
          <w:p/>
          <w:p>
            <w:pPr>
              <w:spacing w:after="0" w:before="0" w:lineRule="auto" w:line="276"/>
              <w:jc w:val="left"/>
            </w:pPr>
            <w:r>
              <w:rPr>
                <w:rFonts w:ascii="Times New Roman" w:hAnsi="Times New Roman" w:cs="Times New Roman" w:eastAsia="Times New Roman"/>
                <w:b w:val="false"/>
                <w:sz w:val="26"/>
              </w:rPr>
              <w:t>05/2021/TT-BTP</w:t>
            </w:r>
          </w:p>
        </w:tc>
        <w:tc>
          <w:p/>
          <w:p>
            <w:pPr>
              <w:spacing w:after="0" w:before="0" w:lineRule="auto" w:line="276"/>
              <w:jc w:val="left"/>
            </w:pPr>
            <w:r>
              <w:rPr>
                <w:rFonts w:ascii="Times New Roman" w:hAnsi="Times New Roman" w:cs="Times New Roman" w:eastAsia="Times New Roman"/>
                <w:b w:val="false"/>
                <w:sz w:val="26"/>
              </w:rPr>
              <w:t>Thông tư 05/2021/TT-BTP</w:t>
            </w:r>
          </w:p>
        </w:tc>
        <w:tc>
          <w:p/>
          <w:p>
            <w:pPr>
              <w:spacing w:after="0" w:before="0" w:lineRule="auto" w:line="276"/>
              <w:jc w:val="left"/>
            </w:pPr>
            <w:r>
              <w:rPr>
                <w:rFonts w:ascii="Times New Roman" w:hAnsi="Times New Roman" w:cs="Times New Roman" w:eastAsia="Times New Roman"/>
                <w:b w:val="false"/>
                <w:sz w:val="26"/>
              </w:rPr>
              <w:t>24-06-2021</w:t>
            </w:r>
          </w:p>
        </w:tc>
        <w:tc>
          <w:p/>
        </w:tc>
      </w:tr>
      <w:tr>
        <w:tc>
          <w:p/>
          <w:p>
            <w:pPr>
              <w:spacing w:after="0" w:before="0" w:lineRule="auto" w:line="276"/>
              <w:jc w:val="left"/>
            </w:pPr>
            <w:r>
              <w:rPr>
                <w:rFonts w:ascii="Times New Roman" w:hAnsi="Times New Roman" w:cs="Times New Roman" w:eastAsia="Times New Roman"/>
                <w:b w:val="false"/>
                <w:sz w:val="26"/>
              </w:rPr>
              <w:t>03/2024/TT-BTP</w:t>
            </w:r>
          </w:p>
        </w:tc>
        <w:tc>
          <w:p/>
          <w:p>
            <w:pPr>
              <w:spacing w:after="0" w:before="0" w:lineRule="auto" w:line="276"/>
              <w:jc w:val="left"/>
            </w:pPr>
            <w:r>
              <w:rPr>
                <w:rFonts w:ascii="Times New Roman" w:hAnsi="Times New Roman" w:cs="Times New Roman" w:eastAsia="Times New Roman"/>
                <w:b w:val="false"/>
                <w:sz w:val="26"/>
              </w:rPr>
              <w:t>Thông tư số 03/2024/TT-BTP ngày 15/5/2024 của Bộ trưởng Bộ Tư pháp sửa đổi, bổ sung 08 thông tư liên quan đến thủ tục hành chính trong lĩnh vực bổ trợ tư pháp.</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112/2025/NĐ-CP</w:t>
            </w:r>
          </w:p>
        </w:tc>
        <w:tc>
          <w:p/>
          <w:p>
            <w:pPr>
              <w:spacing w:after="0" w:before="0" w:lineRule="auto" w:line="276"/>
              <w:jc w:val="left"/>
            </w:pPr>
            <w:r>
              <w:rPr>
                <w:rFonts w:ascii="Times New Roman" w:hAnsi="Times New Roman" w:cs="Times New Roman" w:eastAsia="Times New Roman"/>
                <w:b w:val="false"/>
                <w:sz w:val="26"/>
              </w:rPr>
              <w:t>Nghị định số 112/2025/NĐ-CP ngày 29/5/2025 của Chính phủ sửa đổi, bổ sung một số điều của các Nghị định thuộc lĩnh vực bổ trợ tư pháp</w:t>
            </w:r>
          </w:p>
        </w:tc>
        <w:tc>
          <w:p/>
          <w:p>
            <w:pPr>
              <w:spacing w:after="0" w:before="0" w:lineRule="auto" w:line="276"/>
              <w:jc w:val="left"/>
            </w:pPr>
            <w:r>
              <w:rPr>
                <w:rFonts w:ascii="Times New Roman" w:hAnsi="Times New Roman" w:cs="Times New Roman" w:eastAsia="Times New Roman"/>
                <w:b w:val="false"/>
                <w:sz w:val="26"/>
              </w:rPr>
              <w:t>29-05-2025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đại diện theo pháp luật của văn phòng luật sư, công ty luật trách nhiệm hữu hạn một thành viên phải là luật sư chủ sở hữu của văn phòng luật sư, công ty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https://thutuc.dichvucong.gov.vn/p/home/dvc-tthc-thu-tuc-hanh-chinh-chi-tiet.html?ma_thu_tuc=2967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2025-11-27T16:45:24Z</dcterms:created>
  <dc:creator>Apache POI</dc:creator>
</cp:coreProperties>
</file>