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014" w:rsidRDefault="00074561">
      <w:pPr>
        <w:spacing w:after="300" w:line="276" w:lineRule="auto"/>
        <w:jc w:val="center"/>
      </w:pPr>
      <w:r>
        <w:rPr>
          <w:rFonts w:ascii="Times New Roman" w:eastAsia="Times New Roman" w:hAnsi="Times New Roman" w:cs="Times New Roman"/>
          <w:b/>
          <w:sz w:val="26"/>
        </w:rPr>
        <w:t>Chi tiết thủ tục hành chính</w:t>
      </w:r>
    </w:p>
    <w:p w:rsidR="008F3014" w:rsidRDefault="0007456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1.002062</w:t>
      </w:r>
    </w:p>
    <w:p w:rsidR="008F3014" w:rsidRDefault="0007456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QĐ/0001-NHPTVN</w:t>
      </w:r>
    </w:p>
    <w:p w:rsidR="008F3014" w:rsidRDefault="0007456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Thanh toán vốn đầu tư nhận ủy thác\Cấp vốn\Chi phí khác</w:t>
      </w:r>
    </w:p>
    <w:p w:rsidR="008F3014" w:rsidRDefault="0007456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F3014" w:rsidRDefault="0007456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F3014" w:rsidRDefault="0007456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vốn uỷ thác</w:t>
      </w:r>
    </w:p>
    <w:p w:rsidR="008F3014" w:rsidRDefault="00074561">
      <w:pPr>
        <w:spacing w:after="0" w:line="276" w:lineRule="auto"/>
        <w:jc w:val="both"/>
      </w:pPr>
      <w:r>
        <w:rPr>
          <w:rFonts w:ascii="Times New Roman" w:eastAsia="Times New Roman" w:hAnsi="Times New Roman" w:cs="Times New Roman"/>
          <w:b/>
          <w:sz w:val="26"/>
        </w:rPr>
        <w:t xml:space="preserve">Trình tự thực hiện: </w:t>
      </w:r>
    </w:p>
    <w:p w:rsidR="008F3014" w:rsidRDefault="008F3014">
      <w:pPr>
        <w:shd w:val="clear" w:color="auto" w:fill="F2F6F9"/>
        <w:spacing w:before="120" w:after="0" w:line="276" w:lineRule="auto"/>
        <w:jc w:val="both"/>
      </w:pPr>
    </w:p>
    <w:p w:rsidR="008F3014" w:rsidRDefault="00074561">
      <w:pPr>
        <w:spacing w:after="0" w:line="276" w:lineRule="auto"/>
        <w:jc w:val="both"/>
      </w:pPr>
      <w:r>
        <w:rPr>
          <w:rFonts w:ascii="Times New Roman" w:eastAsia="Times New Roman" w:hAnsi="Times New Roman" w:cs="Times New Roman"/>
          <w:sz w:val="26"/>
        </w:rPr>
        <w:t>- Bước 1: Sau khi ký hợp đồng uỷ thác quản lý, thanh toán vốn đầu tư hoặc nhận được văn bản (kèm theo hợp đồng uỷ thác đã ký) của NHPT giao nhiệm vụ; Chi nhánh NHPT thực hiện như sau: Tiếp nhận hồ sơ thanh toán:  Cán bộ chuyên quản tiếp nhận, kiểm tra tính đầy đủ, hợp pháp, hợp lệ của hồ sơ theo quy định.</w:t>
      </w:r>
    </w:p>
    <w:p w:rsidR="008F3014" w:rsidRDefault="00074561">
      <w:pPr>
        <w:spacing w:after="0" w:line="276" w:lineRule="auto"/>
        <w:jc w:val="both"/>
      </w:pPr>
      <w:r>
        <w:rPr>
          <w:rFonts w:ascii="Times New Roman" w:eastAsia="Times New Roman" w:hAnsi="Times New Roman" w:cs="Times New Roman"/>
          <w:sz w:val="26"/>
        </w:rPr>
        <w:t>- Bước 2: Sau khi nhận đầy đủ hồ sơ thanh toán hợp pháp, hợp lệ. Cán bộ chuyên quản lập tờ trình thanh toán vốn đầu tư, báo cáo trưởng Phòng nghiệp vụ xem xét, ký trình Lãnh đạo Chi nhánh NHPT.</w:t>
      </w:r>
    </w:p>
    <w:p w:rsidR="008F3014" w:rsidRDefault="00074561">
      <w:pPr>
        <w:spacing w:after="0" w:line="276" w:lineRule="auto"/>
        <w:jc w:val="both"/>
      </w:pPr>
      <w:r>
        <w:rPr>
          <w:rFonts w:ascii="Times New Roman" w:eastAsia="Times New Roman" w:hAnsi="Times New Roman" w:cs="Times New Roman"/>
          <w:sz w:val="26"/>
        </w:rPr>
        <w:t>- Bước 3: Lãnh đạo Chi nhánh NHPT xem xét, ký duyệt và chuyển sang Phòng Tài chính kế toán để làm thủ tục thanh toán.</w:t>
      </w:r>
    </w:p>
    <w:p w:rsidR="008F3014" w:rsidRDefault="00074561">
      <w:pPr>
        <w:spacing w:after="0" w:line="276" w:lineRule="auto"/>
        <w:jc w:val="both"/>
      </w:pPr>
      <w:r>
        <w:rPr>
          <w:rFonts w:ascii="Times New Roman" w:eastAsia="Times New Roman" w:hAnsi="Times New Roman" w:cs="Times New Roman"/>
          <w:sz w:val="26"/>
        </w:rPr>
        <w:t>- Bước 4: Phòng Tài chính kế toán thực hiện kiểm soát chứng từ thanh toán, trình duyệt thanh toán, thực hiện thanh toán và luân chuyển chứng từ thanh toán theo quy định của NHPT.</w:t>
      </w:r>
    </w:p>
    <w:p w:rsidR="008F3014" w:rsidRDefault="0007456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279"/>
        <w:gridCol w:w="1321"/>
        <w:gridCol w:w="1981"/>
        <w:gridCol w:w="4830"/>
      </w:tblGrid>
      <w:tr w:rsidR="008F3014">
        <w:tblPrEx>
          <w:tblCellMar>
            <w:top w:w="0" w:type="dxa"/>
            <w:bottom w:w="0" w:type="dxa"/>
          </w:tblCellMar>
        </w:tblPrEx>
        <w:tc>
          <w:tcPr>
            <w:tcW w:w="15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Hình thức nộp</w:t>
            </w:r>
          </w:p>
        </w:tc>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Phí, lệ phí</w:t>
            </w:r>
          </w:p>
        </w:tc>
        <w:tc>
          <w:tcPr>
            <w:tcW w:w="3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Mô tả</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Trực tiếp</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7 Ngày làm việc</w:t>
            </w:r>
          </w:p>
        </w:tc>
        <w:tc>
          <w:tcPr>
            <w:tcW w:w="0" w:type="auto"/>
          </w:tcPr>
          <w:p w:rsidR="008F3014" w:rsidRDefault="008F3014"/>
          <w:p w:rsidR="008F3014" w:rsidRDefault="008F3014">
            <w:pPr>
              <w:spacing w:after="0" w:line="276" w:lineRule="auto"/>
            </w:pP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Tối đa 07 ngày làm việc kể từ khi nhận đủ hồ sơ đề nghị thanh toán vốn theo quy định.</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Dịch vụ bưu chính</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7 Ngày làm việc</w:t>
            </w:r>
          </w:p>
        </w:tc>
        <w:tc>
          <w:tcPr>
            <w:tcW w:w="0" w:type="auto"/>
          </w:tcPr>
          <w:p w:rsidR="008F3014" w:rsidRDefault="008F3014"/>
          <w:p w:rsidR="008F3014" w:rsidRDefault="008F3014">
            <w:pPr>
              <w:spacing w:after="0" w:line="276" w:lineRule="auto"/>
            </w:pP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Tối đa 07 ngày làm việc kể từ khi nhận đủ hồ sơ đề nghị thanh toán vốn theo quy định.</w:t>
            </w:r>
          </w:p>
        </w:tc>
      </w:tr>
    </w:tbl>
    <w:p w:rsidR="008F3014" w:rsidRDefault="00074561">
      <w:pPr>
        <w:spacing w:before="240" w:after="0" w:line="276" w:lineRule="auto"/>
        <w:jc w:val="both"/>
      </w:pPr>
      <w:r>
        <w:rPr>
          <w:rFonts w:ascii="Times New Roman" w:eastAsia="Times New Roman" w:hAnsi="Times New Roman" w:cs="Times New Roman"/>
          <w:b/>
          <w:sz w:val="26"/>
        </w:rPr>
        <w:t xml:space="preserve">Thành phần hồ sơ: </w:t>
      </w:r>
    </w:p>
    <w:p w:rsidR="008F3014" w:rsidRDefault="00074561">
      <w:pPr>
        <w:shd w:val="clear" w:color="auto" w:fill="F2F6F9"/>
        <w:spacing w:before="120" w:after="0" w:line="276" w:lineRule="auto"/>
        <w:jc w:val="both"/>
      </w:pPr>
      <w:r>
        <w:rPr>
          <w:rFonts w:ascii="Times New Roman" w:eastAsia="Times New Roman" w:hAnsi="Times New Roman" w:cs="Times New Roman"/>
          <w:b/>
          <w:sz w:val="26"/>
        </w:rPr>
        <w:t>I. Tài liệu cơ sở (sửa đổi, bổ sung):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87"/>
        <w:gridCol w:w="1175"/>
        <w:gridCol w:w="949"/>
      </w:tblGrid>
      <w:tr w:rsidR="008F3014">
        <w:tblPrEx>
          <w:tblCellMar>
            <w:top w:w="0" w:type="dxa"/>
            <w:bottom w:w="0" w:type="dxa"/>
          </w:tblCellMar>
        </w:tblPrEx>
        <w:tc>
          <w:tcPr>
            <w:tcW w:w="6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lastRenderedPageBreak/>
              <w:t>Số lượng</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1. Dự án đầu tư xây dựng công trình hoặc báo cáo kinh tế kỹ thuật - Bản chính hoặc bản sao kèm bản chính để đối chiếu hoặc bản sao tự xác nhận của chủ đầu tư.</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2. Quyết định đầu tư của cấp có thẩm quyền, các quyết định điều chỉnh dự án (nếu có) - Bản chính hoặc bản sao kèm bản chính để đối chiếu hoặc bản sao tự xác nhận của chủ đầu tư.</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3. Hợp đồng giữa Chủ đầu tư và Nhà thầu và các tài liệu kèm theo hợp đồng - Bản chính hoặc bản sao kèm bản chính để đối chiếu hoặc bản sao tự xác nhận của chủ đầu tư.</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4. Dự toán và quyết định phê duyệt dự toán của từng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5. Đối với chi phí khởi công, nghiệm thu, chạy thử, khánh thành: phải có văn bản của cấp có thẩm quyền cho phép (trừ trường hợp chạy thử), dự toán được duyệt và bảng kê chi phí do chủ đầu tư lập.</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6. Đối với chi phí nghiên cứu khoa học công nghệ liên quan đến dự án, chi phí chuyên gia, đào tạo công nhân kỹ thuật và cán bộ quản lý sản xuất: Phải có hợp đồng, dự toán chi phí được duyệt, bảng kê chi phí do chủ đầu tư lập;</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7. Đối với chi phí bảo hiểm: Phải có hợp đồng bảo hiểm công trình, thông báo thu phí của cơ quan bảo hiểm.</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8. Đối với chi phí kiểm toán, thẩm tra, phê duyệt quyết toán: Trường hợp thuê kiểm toán, phải có hợp đồng; trường hợp do cơ quan chuyên môn thẩm tra, phải có dự toán được duyệt;</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9. Đối với chi phí thẩm tra tổng mức đầu tư; Chi phí di chuyển thiết bị thi công và lực lượng lao động đến công trường; Chi phí đăng kiểm chất lượng quốc tế, quan trắc biến dạng công trình; Chi phí đảm bảo an toàn giao thông phục vụ thi công các công trình: Phải có dự toán được duyệt; Hợp đồng A – B.</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10. Đối với chi phí khác còn lại bao gồm: các khoản phí, lệ phí cấp đất xây dựng, thuế chuyển quyền sử dụng đất, lệ phí thẩm định dự án… Phải có đầy đủ căn cứ chứng minh công việc đã được thực hiện như có hoá đơn, chứng từ hợp lệ hoặc thông báo trả tiền của cơ quan thu tiền.</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Phiếu giao nhận hồ sơ</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Mau bieu 01TT - UT.doc</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8F3014" w:rsidRDefault="00074561">
      <w:pPr>
        <w:shd w:val="clear" w:color="auto" w:fill="F2F6F9"/>
        <w:spacing w:before="120" w:after="0" w:line="276" w:lineRule="auto"/>
        <w:jc w:val="both"/>
      </w:pPr>
      <w:r>
        <w:rPr>
          <w:rFonts w:ascii="Times New Roman" w:eastAsia="Times New Roman" w:hAnsi="Times New Roman" w:cs="Times New Roman"/>
          <w:b/>
          <w:sz w:val="26"/>
        </w:rPr>
        <w:t>II. Khi thanh toán vốn: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131"/>
        <w:gridCol w:w="2742"/>
        <w:gridCol w:w="1538"/>
      </w:tblGrid>
      <w:tr w:rsidR="008F3014">
        <w:tblPrEx>
          <w:tblCellMar>
            <w:top w:w="0" w:type="dxa"/>
            <w:bottom w:w="0" w:type="dxa"/>
          </w:tblCellMar>
        </w:tblPrEx>
        <w:tc>
          <w:tcPr>
            <w:tcW w:w="6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Tên giấy tờ</w:t>
            </w:r>
          </w:p>
        </w:tc>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Mẫu đơn, tờ khai</w:t>
            </w:r>
          </w:p>
        </w:tc>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Số lượng</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1. Giấy đề nghị thanh toán vốn uỷ thác (Mẫu số 02/TT-UT) - Bản chính</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mau so 02TT-UT. Giay de nghi.doc</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2. Chứng từ rút vốn theo quy định của NHPT - Bản chính.</w:t>
            </w:r>
          </w:p>
        </w:tc>
        <w:tc>
          <w:tcPr>
            <w:tcW w:w="0" w:type="auto"/>
          </w:tcPr>
          <w:p w:rsidR="008F3014" w:rsidRDefault="008F3014"/>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8F3014" w:rsidRDefault="0007456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8F3014" w:rsidRDefault="0007456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giao dịch, Chi nhánh NHPT</w:t>
      </w:r>
    </w:p>
    <w:p w:rsidR="008F3014" w:rsidRDefault="00074561">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Giám đốc Sở giao dịch, Chi nhánh NHPT</w:t>
      </w:r>
    </w:p>
    <w:p w:rsidR="008F3014" w:rsidRDefault="0007456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F3014" w:rsidRDefault="0007456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F3014" w:rsidRDefault="0007456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F3014" w:rsidRDefault="0007456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phê duyệt thủ tục cấp vốn, Thanh toán vốn đầu tư nhận ủy thác\Cấp vốn\Chi phí khác, Chấp thuận phê duyệt</w:t>
      </w:r>
    </w:p>
    <w:p w:rsidR="008F3014" w:rsidRDefault="0007456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227"/>
        <w:gridCol w:w="6046"/>
        <w:gridCol w:w="838"/>
        <w:gridCol w:w="1300"/>
      </w:tblGrid>
      <w:tr w:rsidR="008F3014">
        <w:tblPrEx>
          <w:tblCellMar>
            <w:top w:w="0" w:type="dxa"/>
            <w:bottom w:w="0" w:type="dxa"/>
          </w:tblCellMar>
        </w:tblPrEx>
        <w:tc>
          <w:tcPr>
            <w:tcW w:w="2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Số ký hiệu</w:t>
            </w:r>
          </w:p>
        </w:tc>
        <w:tc>
          <w:tcPr>
            <w:tcW w:w="35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Trích yếu</w:t>
            </w:r>
          </w:p>
        </w:tc>
        <w:tc>
          <w:tcPr>
            <w:tcW w:w="15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Ngày ban hành</w:t>
            </w:r>
          </w:p>
        </w:tc>
        <w:tc>
          <w:tcPr>
            <w:tcW w:w="3000" w:type="dxa"/>
          </w:tcPr>
          <w:p w:rsidR="008F3014" w:rsidRDefault="008F3014"/>
          <w:p w:rsidR="008F3014" w:rsidRDefault="00074561">
            <w:pPr>
              <w:spacing w:after="0" w:line="276" w:lineRule="auto"/>
              <w:jc w:val="center"/>
            </w:pPr>
            <w:r>
              <w:rPr>
                <w:rFonts w:ascii="Times New Roman" w:eastAsia="Times New Roman" w:hAnsi="Times New Roman" w:cs="Times New Roman"/>
                <w:b/>
                <w:sz w:val="26"/>
              </w:rPr>
              <w:t>Cơ quan ban hành</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661/QĐ-NHPT</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Quyết định số 661/QĐ-NHPT ngày 21/12/2007 về việc ban hành mức phí quản lý, thanh toán, cho vay vốn đầu tư nhận ủy thác.</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01-01-2008</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Ngân hàng phát triển Việt Nam</w:t>
            </w:r>
          </w:p>
        </w:tc>
      </w:tr>
      <w:tr w:rsidR="008F3014">
        <w:tblPrEx>
          <w:tblCellMar>
            <w:top w:w="0" w:type="dxa"/>
            <w:bottom w:w="0" w:type="dxa"/>
          </w:tblCellMar>
        </w:tblPrEx>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99/QĐ-NHPT</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Quyết định số 99/QĐ-NHPT ngày 29/2/2008 của Tổng giám đốc Ngân hàng Phát triển Việt Nam về việc ban hành Sổ tay Nghiệp vụ quản lý, thanh toán, cho vay vốn đầu tư nhận ủy thác</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01-03-2008</w:t>
            </w:r>
          </w:p>
        </w:tc>
        <w:tc>
          <w:tcPr>
            <w:tcW w:w="0" w:type="auto"/>
          </w:tcPr>
          <w:p w:rsidR="008F3014" w:rsidRDefault="008F3014"/>
          <w:p w:rsidR="008F3014" w:rsidRDefault="00074561">
            <w:pPr>
              <w:spacing w:after="0" w:line="276" w:lineRule="auto"/>
            </w:pPr>
            <w:r>
              <w:rPr>
                <w:rFonts w:ascii="Times New Roman" w:eastAsia="Times New Roman" w:hAnsi="Times New Roman" w:cs="Times New Roman"/>
                <w:sz w:val="26"/>
              </w:rPr>
              <w:t>Ngân hàng phát triển Việt Nam</w:t>
            </w:r>
          </w:p>
        </w:tc>
      </w:tr>
    </w:tbl>
    <w:p w:rsidR="008F3014" w:rsidRDefault="0007456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quản lý, thanh toán vốn đầu tư nhận uỷ thác được thực hiện theo các quy định tại Hợp đồng uỷ thác quản lý, thanh toán vốn đầu tư ký giữa NHPT (Chi nhánh NHPT) với đơn vị uỷ thác, được bố trí vào kế hoạch đầu tư hàng năm của Đơn vị uỷ thác.</w:t>
      </w:r>
    </w:p>
    <w:p w:rsidR="008F3014" w:rsidRDefault="0007456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F3014" w:rsidRDefault="0007456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 xml:space="preserve">* Phí quản lý, thanh toán vốn đầu tư nhận uỷ thác (áp dụng đối với những dự án uỷ thác thanh toán vốn phát sinh sau ngày 23/11/2007): - Mức phí áp dụng: 0,3%/số vốn thanh toán từng lần. - Kỳ tính phí: hàng quý. </w:t>
      </w:r>
      <w:r>
        <w:rPr>
          <w:rFonts w:ascii="Times New Roman" w:eastAsia="Times New Roman" w:hAnsi="Times New Roman" w:cs="Times New Roman"/>
          <w:sz w:val="26"/>
        </w:rPr>
        <w:t>- Giới hạn mức thu: Tối thiểu là 50.000đồng/lần thanh toán, tối đa không quá 5.000.000đồng/lần thanh toán.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https://thutuc.dichvucong.gov.vn/p/home/dvc-tthc-thu-tuc-hanh-chinh-chi-tiet.html?ma_thu_tuc=2975</w:t>
      </w:r>
    </w:p>
    <w:sectPr w:rsidR="008F301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3014"/>
    <w:rsid w:val="00074561"/>
    <w:rsid w:val="008F3014"/>
    <w:rsid w:val="00B32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038AE9-A3B5-455E-8217-9342B110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2025-11-27T16:45:00Z</dcterms:created>
  <dcterms:modified xsi:type="dcterms:W3CDTF">2025-11-27T16:45:00Z</dcterms:modified>
</cp:coreProperties>
</file>