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1.002088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2393/QĐ-BYT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số tiếp nhận Phiếu công bố sản phẩm mỹ phẩm nhập khẩu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Mỹ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nộp 01 bộ hồ sơ công bố sản phẩm mỹ phẩm tới Cục Quản lý Dược, Bộ Y tế  theo quy định tại Điều 15 Nghị định số 118/2025/NĐ-CP ngày 09 tháng 6 năm 2025 của Chính phủ về thực hiện thủ tục hành chính theo cơ chế một cửa, một cửa liên thông tại Bộ phận Một cửa và Cổng Dịch vụ công quốc gia.
Trường hợp nộp hồ sơ trên Cổng Dịch vụ công quốc gia, cơ sở thực hiện theo quy định tại Nghị định số 45/2020/NĐ-CP ngày 08 tháng 4 năm 2020 về thực hiện thủ tục hành chính trên môi trường điện tử được sửa đổi, bổ sung năm 2022 và năm 2025, Nghị định số 68/2024/NĐ-CP ngày 25 tháng 6 năm 2024 của Chính phủ quy định về chữ ký số chuyên dùng công vụ, Nghị định số 69/2024/NĐ-CP ngày 25 tháng 6 năm 2024 của Chính phủ quy định về định danh và xác thực điện tử.
Bước 2: Giải quyết hồ sơ công bố sản phẩm mỹ phẩm:
a) Trong vòng 03 ngày làm việc kể từ ngày nhận được hồ sơ công bố hợp lệ và phí công bố theo quy định, cơ quan quản lý nhà nước có thẩm quyền (Cục Quản lý Dược) có trách nhiệm ban hành số tiếp nhận Phiếu công bố sản phẩm mỹ phẩm.
b) Trường hợp hồ sơ công bố chưa đáp ứng theo quy định của Thông tư này thì trong vòng 05 ngày làm việc kể từ ngày nhận được hồ sơ, cơ quan tiếp nhận hồ sơ thông báo bằng văn bản cho tổ chức, cá nhân công bố biết các nội dung chưa đáp ứng để sửa đổi, bổ sung hồ sơ (nêu cụ thể các nội dung chưa đáp ứng).
Trong vòng 05 ngày làm việc kể từ ngày nhận được hồ sơ bổ sung đáp ứng theo quy định của Thông tư này, cơ quan quản lý nhà nước có thẩm quyền có trách nhiệm ban hành số tiếp nhận Phiếu công bố sản phẩm mỹ phẩm.
Trường hợp hồ sơ sửa đổi, bổ sung không đáp ứng theo quy định của Thông tư này thì trong vòng 05 ngày làm việc kể từ ngày nhận được hồ sơ bổ sung, cơ quan tiếp nhận hồ sơ thông báo bằng văn bản không cấp số tiếp nhận Phiếu công bố sản phẩm mỹ phẩm cho sản phẩm này.
Hồ sơ bổ sung của đơn vị gồm:
- Văn bản giải trình về việc sửa đổi, bổ sung của tổ chức, cá nhân đứng tên công bố;
- Phiếu công bố sản phẩm mỹ phẩm kèm theo tài liệu khác được sửa đổi, bổ sung.
c) Trong thời gian 03 tháng kể từ ngày ban hành văn bản thông báo theo quy định tại điểm b khoản này, nếu cơ quan quản lý nhà nước có thẩm quyền không nhận được hồ sơ bổ sung của tổ chức, cá nhân đứng tên công bố thì hồ sơ công bố không còn giá trị. Trong trường hợp này, nếu tổ chức, cá nhân muốn tiếp tục công bố thì phải nộp hồ sơ mới và nộp lệ phí mới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500.000 Đồng</w:t>
            </w:r>
          </w:p>
        </w:tc>
        <w:tc>
          <w:p/>
          <w:p>
            <w:pPr>
              <w:spacing w:after="0" w:before="0" w:lineRule="auto" w:line="276"/>
              <w:jc w:val="left"/>
            </w:pPr>
            <w:r>
              <w:rPr>
                <w:rFonts w:ascii="Times New Roman" w:hAnsi="Times New Roman" w:cs="Times New Roman" w:eastAsia="Times New Roman"/>
                <w:b w:val="false"/>
                <w:sz w:val="26"/>
              </w:rPr>
              <w:t>03 ngày làm việc kể từ ngày nhận được hồ sơ hợp lệ;
05 ngày làm việc đối với trường hợp hồ sơ phải bổ sung.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500.000 Đồng</w:t>
            </w:r>
          </w:p>
        </w:tc>
        <w:tc>
          <w:p/>
          <w:p>
            <w:pPr>
              <w:spacing w:after="0" w:before="0" w:lineRule="auto" w:line="276"/>
              <w:jc w:val="left"/>
            </w:pPr>
            <w:r>
              <w:rPr>
                <w:rFonts w:ascii="Times New Roman" w:hAnsi="Times New Roman" w:cs="Times New Roman" w:eastAsia="Times New Roman"/>
                <w:b w:val="false"/>
                <w:sz w:val="26"/>
              </w:rPr>
              <w:t>03 ngày làm việc kể từ ngày nhận được hồ sơ hợp lệ;
05 ngày làm việc đối với trường hợp hồ sơ phải bổ sung.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500.000 Đồng</w:t>
            </w:r>
          </w:p>
        </w:tc>
        <w:tc>
          <w:p/>
          <w:p>
            <w:pPr>
              <w:spacing w:after="0" w:before="0" w:lineRule="auto" w:line="276"/>
              <w:jc w:val="left"/>
            </w:pPr>
            <w:r>
              <w:rPr>
                <w:rFonts w:ascii="Times New Roman" w:hAnsi="Times New Roman" w:cs="Times New Roman" w:eastAsia="Times New Roman"/>
                <w:b w:val="false"/>
                <w:sz w:val="26"/>
              </w:rPr>
              <w:t>03 ngày làm việc kể từ ngày nhận được hồ sơ hợp lệ;
05 ngày làm việc đối với trường hợp hồ sơ phải bổ sung.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Thành phần hồ sơ 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Phiếu  công  bố  sản phẩm mỹ phẩm;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ủy  quyền  của  nhà  sản  xuất  hoặc chủ sở hữu sản phẩm ủy quyền cho tổ chức, cá nhân chịu trách nhiệm đưa sản phẩm ra thị trường được phân phối sản phẩm mỹ phẩm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chứng nhận lưu hành tự do (CFS)</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1. Trường hợp miễn CFS bao gồm:  a. Thành phần hồ sơ bao gồm: - Phiếu công bố sản phẩm mỹ phẩm; - Giấy ủy quyền của nhà sản xuất hoặc chủ sở hữu sản phẩm ủy quyền cho tổ chức, cá nhân chịu trách nhiệm đưa sản phẩm ra thị trường được phân phối sản phẩm mỹ phẩm tại Việt Nam; - Giấy chứng nhận lưu hành tự do (CFS) đối với sản phẩm mỹ phẩm nhập khẩu được quy định như sau: 1. Trường hợp miễn CFS bao gồm: - Sản phẩm mỹ phẩm được sản xuất tại nước thành viên Hiệp định Đối tác Toàn diện và Tiến bộ xuyên Thái Bình Dương mà việc tham gia Hiệp định này đã được cơ quan có thẩm quyền của nước đó phê chuẩn và có hiệu lực (sau đây viết tắt là nước thành viên CPTPP); - Sản phẩm mỹ phẩm được lưu hành và xuất khẩu từ nước thành viên CPTPP: Doanh nghiệp chịu trách nhiệm đưa sản phẩm ra thị trường phải nộp tài liệu chứng minh sản phẩm được lưu hành tại nước thành viên CPTPP do cơ quan có thẩm quyền nước thành viên CPTPP cấp (giấy phép lưu hành sản phẩm mỹ phẩm hoặc phiếu công bố sản phẩm mỹ phẩm đã được cấp số tiếp nhận hoặc văn bản pháp lý khác có chứng nhận sản phẩm được lưu hành tại nước thành viên CPTPP) được hợp pháp hoá lãnh sự theo quy định của pháp luật, trừ trường hợp giấy tờ pháp lý thuộc một trong các trường hợp sau đây: + Được miễn hợp pháp hóa lãnh sự theo điều ước quốc tế mà nước Cộng hòa xã hội chủ nghĩa Việt Nam (sau đây viết tắt là Việt Nam) là thành viên hoặc theo nguyên tắc có đi có lại giữa Việt Nam và quốc gia cấp; + Được cơ quan ngoại giao nước ngoài hoặc cơ quan quản lý nhà nước về mỹ phẩm có thẩm quyền hoặc cơ quan cấp giấy tờ pháp lý của nước thành viên CPTPP gửi văn bản hoặc thư điện tử đến Cục Quản lý Dược xác nhận giấy tờ pháp lý; + Doanh nghiệp chịu trách nhiệm đưa sản phẩm ra thị trường gửi kết quả tự tra cứu giấy tờ pháp lý từ trang thông tin điện tử (website tiếng Anh) của cơ quan cấp giấy tờ pháp lý của nước thành viên CPTPP có đóng dấu xác nhận của doanh nghiệp kèm theo văn bản cung cấp thông tin về đường dẫn tra cứu đến Cục Quản lý Dược. Doanh nghiệp phải chịu trách nhiệm trước pháp luật về tính hợp pháp, tính chính xác của các giấy tờ, thông tin này và kết quả tự tra cứu của doanh nghiệp; - Sản phẩm mỹ phẩm đã được cấp số tiếp nhận Phiếu công bố sản phẩm mỹ phẩm tại nước thuộc Hiệp hội các quốc gia Đông Nam Á (ASEAN): Doanh nghiệp chịu trách nhiệm đưa sản phẩm ra thị trường phải nộp Phiếu công bố sản phẩm mỹ phẩm đã được cấp số tiếp nhận tại nước thuộc ASEAN được hợp pháp hoá lãnh sự theo quy định của pháp luật, trừ trường hợp Phiếu công bố sản phẩm mỹ phẩm thuộc một trong các trường hợp sau đây: + Được miễn hợp pháp hoá lãnh sự theo điều ước quốc tế mà Việt Nam là thành viên hoặc theo nguyên tắc có đi có lại giữa Việt Nam và quốc gia cấp; + Được cơ quan ngoại giao nước ngoài hoặc cơ quan quản lý nhà nước về mỹ phẩm có thẩm quyền hoặc cơ quan cấp Phiếu công bố sản phẩm mỹ phẩm của nước thành viên ASEAN gửi văn bản hoặc thư điện tử đến Cục Quản lý Dược xác nhận Phiếu công bố sản phẩm mỹ phẩm; + Doanh nghiệp chịu trách nhiệm đưa sản phẩm ra thị trường gửi kết quả tự tra cứu Phiếu công bố sản phẩm mỹ phẩm từ website tiếng Anh của cơ quan quản lý có thẩm quyền của nước thành viên ASEAN cấp số Phiếu tiếp nhận công bố sản phẩm mỹ phẩm có đóng dấu xác nhận của doanh nghiệp kèm theo văn bản cung cấp thông tin về đường dẫn tra cứu đến Cục Quản lý Dược. Doanh nghiệp phải chịu trách nhiệm trước pháp luật về tính hợp pháp, tính chính xác của các giấy tờ, thông tin này và kết quả tự tra cứu của doanh nghiệp;   2. Ngoài các trường hợp miễn CFS nêu trên, hồ sơ công bố sản phẩm mỹ phẩm nhập khẩu phải có CFS đáp ứng các yêu cầu sau đây: - CFS do cơ quan có thẩm quyền của nước sản xuất hoặc nước xuất khẩu mỹ phẩm vào Việt Nam cấp còn thời hạn hiệu lực (bản chính hoặc bản sao chứng thực). Trường hợp CFS không nêu thời hạn thì phải là bản được cấp trong vòng 24 tháng kể từ ngày cấp; - CFS phải được hợp pháp hoá lãnh sự theo quy định của pháp luật, trừ trường hợp CFS đáp ứng một trong các quy định sau đây: + Được miễn hợp pháp hóa lãnh sự theo điều ước quốc tế mà Việt Nam là thành viên hoặc theo nguyên tắc có đi có lại giữa Việt Nam và quốc gia cấp; + Có văn bản hoặc thư điện tử do cơ quan có thẩm quyền cấp CFS hoặc cơ quan ngoại giao nước ngoài gửi đến Cục Quản lý Dược có nội dung xác nhận thông tin của CFS; - CFS phải có tối thiểu các thông tin quy định tại Điều 36 Luật quản lý ngoại thương và khoản 3 Điều 10 Nghị định số 69/2018/NĐ-CP ngày 15 tháng 5 năm 2018 của Chính phủ quy định chi tiết một số điều của Luật quản lý ngoại thương.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Quản lý Dược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Số tiếp nhận Phiếu công bố sản phẩm mỹ phẩm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155/2018/NĐ-CP</w:t>
            </w:r>
          </w:p>
        </w:tc>
        <w:tc>
          <w:p/>
          <w:p>
            <w:pPr>
              <w:spacing w:after="0" w:before="0" w:lineRule="auto" w:line="276"/>
              <w:jc w:val="left"/>
            </w:pPr>
            <w:r>
              <w:rPr>
                <w:rFonts w:ascii="Times New Roman" w:hAnsi="Times New Roman" w:cs="Times New Roman" w:eastAsia="Times New Roman"/>
                <w:b w:val="false"/>
                <w:sz w:val="26"/>
              </w:rPr>
              <w:t>Nghị định 155/2018/NĐ-CP Sửa đổi, bổ sung một số quy định liên quan đến điều kiện đầu tư kinh doanh thuộc phạm vi quản lý nhà nước của Bộ Y tế</w:t>
            </w:r>
          </w:p>
        </w:tc>
        <w:tc>
          <w:p/>
          <w:p>
            <w:pPr>
              <w:spacing w:after="0" w:before="0" w:lineRule="auto" w:line="276"/>
              <w:jc w:val="left"/>
            </w:pPr>
            <w:r>
              <w:rPr>
                <w:rFonts w:ascii="Times New Roman" w:hAnsi="Times New Roman" w:cs="Times New Roman" w:eastAsia="Times New Roman"/>
                <w:b w:val="false"/>
                <w:sz w:val="26"/>
              </w:rPr>
              <w:t>12-11-2018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277/2016/TT-BTC</w:t>
            </w:r>
          </w:p>
        </w:tc>
        <w:tc>
          <w:p/>
          <w:p>
            <w:pPr>
              <w:spacing w:after="0" w:before="0" w:lineRule="auto" w:line="276"/>
              <w:jc w:val="left"/>
            </w:pPr>
            <w:r>
              <w:rPr>
                <w:rFonts w:ascii="Times New Roman" w:hAnsi="Times New Roman" w:cs="Times New Roman" w:eastAsia="Times New Roman"/>
                <w:b w:val="false"/>
                <w:sz w:val="26"/>
              </w:rPr>
              <w:t>Thông tư 277/2016/TT-BTC Quy định mức thu, chế độ thu, nộp, quản lý và sử dụng phí trong lĩnh vực dược, mỹ phẩm</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06/2011/TT-BYT</w:t>
            </w:r>
          </w:p>
        </w:tc>
        <w:tc>
          <w:p/>
          <w:p>
            <w:pPr>
              <w:spacing w:after="0" w:before="0" w:lineRule="auto" w:line="276"/>
              <w:jc w:val="left"/>
            </w:pPr>
            <w:r>
              <w:rPr>
                <w:rFonts w:ascii="Times New Roman" w:hAnsi="Times New Roman" w:cs="Times New Roman" w:eastAsia="Times New Roman"/>
                <w:b w:val="false"/>
                <w:sz w:val="26"/>
              </w:rPr>
              <w:t>Thông tư 06/2011/TT-BYT Quy định về quản lý mỹ phẩm</w:t>
            </w:r>
          </w:p>
        </w:tc>
        <w:tc>
          <w:p/>
          <w:p>
            <w:pPr>
              <w:spacing w:after="0" w:before="0" w:lineRule="auto" w:line="276"/>
              <w:jc w:val="left"/>
            </w:pPr>
            <w:r>
              <w:rPr>
                <w:rFonts w:ascii="Times New Roman" w:hAnsi="Times New Roman" w:cs="Times New Roman" w:eastAsia="Times New Roman"/>
                <w:b w:val="false"/>
                <w:sz w:val="26"/>
              </w:rPr>
              <w:t>25-01-2011</w:t>
            </w:r>
          </w:p>
        </w:tc>
        <w:tc>
          <w:p/>
          <w:p>
            <w:pPr>
              <w:spacing w:after="0" w:before="0" w:lineRule="auto" w:line="276"/>
              <w:jc w:val="left"/>
            </w:pPr>
            <w:r>
              <w:rPr>
                <w:rFonts w:ascii="Times New Roman" w:hAnsi="Times New Roman" w:cs="Times New Roman" w:eastAsia="Times New Roman"/>
                <w:b w:val="false"/>
                <w:sz w:val="26"/>
              </w:rPr>
              <w:t>Bộ Y tế</w:t>
            </w:r>
          </w:p>
        </w:tc>
      </w:tr>
      <w:tr>
        <w:tc>
          <w:p/>
          <w:p>
            <w:pPr>
              <w:spacing w:after="0" w:before="0" w:lineRule="auto" w:line="276"/>
              <w:jc w:val="left"/>
            </w:pPr>
            <w:r>
              <w:rPr>
                <w:rFonts w:ascii="Times New Roman" w:hAnsi="Times New Roman" w:cs="Times New Roman" w:eastAsia="Times New Roman"/>
                <w:b w:val="false"/>
                <w:sz w:val="26"/>
              </w:rPr>
              <w:t>29/2020/TT-BYT</w:t>
            </w:r>
          </w:p>
        </w:tc>
        <w:tc>
          <w:p/>
          <w:p>
            <w:pPr>
              <w:spacing w:after="0" w:before="0" w:lineRule="auto" w:line="276"/>
              <w:jc w:val="left"/>
            </w:pPr>
            <w:r>
              <w:rPr>
                <w:rFonts w:ascii="Times New Roman" w:hAnsi="Times New Roman" w:cs="Times New Roman" w:eastAsia="Times New Roman"/>
                <w:b w:val="false"/>
                <w:sz w:val="26"/>
              </w:rPr>
              <w:t>Thông tư 29/2020/TT-BYT</w:t>
            </w:r>
          </w:p>
        </w:tc>
        <w:tc>
          <w:p/>
          <w:p>
            <w:pPr>
              <w:spacing w:after="0" w:before="0" w:lineRule="auto" w:line="276"/>
              <w:jc w:val="left"/>
            </w:pPr>
            <w:r>
              <w:rPr>
                <w:rFonts w:ascii="Times New Roman" w:hAnsi="Times New Roman" w:cs="Times New Roman" w:eastAsia="Times New Roman"/>
                <w:b w:val="false"/>
                <w:sz w:val="26"/>
              </w:rPr>
              <w:t>31-12-2020</w:t>
            </w:r>
          </w:p>
        </w:tc>
        <w:tc>
          <w:p/>
        </w:tc>
      </w:tr>
      <w:tr>
        <w:tc>
          <w:p/>
          <w:p>
            <w:pPr>
              <w:spacing w:after="0" w:before="0" w:lineRule="auto" w:line="276"/>
              <w:jc w:val="left"/>
            </w:pPr>
            <w:r>
              <w:rPr>
                <w:rFonts w:ascii="Times New Roman" w:hAnsi="Times New Roman" w:cs="Times New Roman" w:eastAsia="Times New Roman"/>
                <w:b w:val="false"/>
                <w:sz w:val="26"/>
              </w:rPr>
              <w:t>41/2023/TT-BTC</w:t>
            </w:r>
          </w:p>
        </w:tc>
        <w:tc>
          <w:p/>
          <w:p>
            <w:pPr>
              <w:spacing w:after="0" w:before="0" w:lineRule="auto" w:line="276"/>
              <w:jc w:val="left"/>
            </w:pPr>
            <w:r>
              <w:rPr>
                <w:rFonts w:ascii="Times New Roman" w:hAnsi="Times New Roman" w:cs="Times New Roman" w:eastAsia="Times New Roman"/>
                <w:b w:val="false"/>
                <w:sz w:val="26"/>
              </w:rPr>
              <w:t>41/2023/TT-BTC</w:t>
            </w:r>
          </w:p>
        </w:tc>
        <w:tc>
          <w:p/>
          <w:p>
            <w:pPr>
              <w:spacing w:after="0" w:before="0" w:lineRule="auto" w:line="276"/>
              <w:jc w:val="left"/>
            </w:pPr>
            <w:r>
              <w:rPr>
                <w:rFonts w:ascii="Times New Roman" w:hAnsi="Times New Roman" w:cs="Times New Roman" w:eastAsia="Times New Roman"/>
                <w:b w:val="false"/>
                <w:sz w:val="26"/>
              </w:rPr>
              <w:t>12-06-2023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34/2025/TT-BYT</w:t>
            </w:r>
          </w:p>
        </w:tc>
        <w:tc>
          <w:p/>
          <w:p>
            <w:pPr>
              <w:spacing w:after="0" w:before="0" w:lineRule="auto" w:line="276"/>
              <w:jc w:val="left"/>
            </w:pPr>
            <w:r>
              <w:rPr>
                <w:rFonts w:ascii="Times New Roman" w:hAnsi="Times New Roman" w:cs="Times New Roman" w:eastAsia="Times New Roman"/>
                <w:b w:val="false"/>
                <w:sz w:val="26"/>
              </w:rPr>
              <w:t>Thông tư số 34/2025/TT-BYT</w:t>
            </w:r>
          </w:p>
        </w:tc>
        <w:tc>
          <w:p/>
          <w:p>
            <w:pPr>
              <w:spacing w:after="0" w:before="0" w:lineRule="auto" w:line="276"/>
              <w:jc w:val="left"/>
            </w:pPr>
            <w:r>
              <w:rPr>
                <w:rFonts w:ascii="Times New Roman" w:hAnsi="Times New Roman" w:cs="Times New Roman" w:eastAsia="Times New Roman"/>
                <w:b w:val="false"/>
                <w:sz w:val="26"/>
              </w:rPr>
              <w:t>03-07-2025</w:t>
            </w:r>
          </w:p>
        </w:tc>
        <w:tc>
          <w:p/>
          <w:p>
            <w:pPr>
              <w:spacing w:after="0" w:before="0" w:lineRule="auto" w:line="276"/>
              <w:jc w:val="left"/>
            </w:pPr>
            <w:r>
              <w:rPr>
                <w:rFonts w:ascii="Times New Roman" w:hAnsi="Times New Roman" w:cs="Times New Roman" w:eastAsia="Times New Roman"/>
                <w:b w:val="false"/>
                <w:sz w:val="26"/>
              </w:rPr>
              <w:t>Bộ Y tế</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cá nhân chịu trách nhiệm đưa sản phẩm ra lưu thông trên thị trường phải có chức năng kinh doanh mỹ phẩm tại Việt Nam.
- Việc công bố tính năng của sản phẩm mỹ phẩm (mục đích sử dụng của sản phẩm) phải đáp ứng hướng dẫn của ASEAN về công bố tính năng sản phẩm mỹ phẩm.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https://thutuc.dichvucong.gov.vn/p/home/dvc-tthc-thu-tuc-hanh-chinh-chi-tiet.html?ma_thu_tuc=3009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2025-11-27T16:45:42Z</dcterms:created>
  <dc:creator>Apache POI</dc:creator>
</cp:coreProperties>
</file>