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1.002096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1731/QĐ-NHNN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báo cáo biểu phí dịch vụ thẻ mới hoặc điều chỉnh, bổ sung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Hoạt động thanh toán</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Tối thiểu trước 15 ngày kể từ khi áp dụng biểu phí dịch vụ thẻ (ban hành mới hoặc điều chỉnh, bổ sung), Tổ chức phát hành thẻ gửi 02 (hai) biểu phí dịch vụ của đơn vị mình về Ngân hàng Nhà nước Việt Nam (Vụ Thanh toán và Cơ quan Thanh tra, giám sát ngân hàng).</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Không xác định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Không</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 xml:space="preserve">Không xác định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Không</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Biểu phí dịch vụ thẻ mới hoặc điều chỉnh, bổ sung.</w:t>
            </w:r>
          </w:p>
        </w:tc>
        <w:tc>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Ngân hàng Nhà nước Việt Nam số 49, Lý Thái Tổ, Hoàn Kiếm, Hà Nội</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Không có kết quả giải quyết</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	35/2012/TT-NHNN</w:t>
            </w:r>
          </w:p>
        </w:tc>
        <w:tc>
          <w:p/>
          <w:p>
            <w:pPr>
              <w:spacing w:after="0" w:before="0" w:lineRule="auto" w:line="276"/>
              <w:jc w:val="left"/>
            </w:pPr>
            <w:r>
              <w:rPr>
                <w:rFonts w:ascii="Times New Roman" w:hAnsi="Times New Roman" w:cs="Times New Roman" w:eastAsia="Times New Roman"/>
                <w:b w:val="false"/>
                <w:sz w:val="26"/>
              </w:rPr>
              <w:t>Thông tư 35/2012/TT-NHNN</w:t>
            </w:r>
          </w:p>
        </w:tc>
        <w:tc>
          <w:p/>
          <w:p>
            <w:pPr>
              <w:spacing w:after="0" w:before="0" w:lineRule="auto" w:line="276"/>
              <w:jc w:val="left"/>
            </w:pPr>
            <w:r>
              <w:rPr>
                <w:rFonts w:ascii="Times New Roman" w:hAnsi="Times New Roman" w:cs="Times New Roman" w:eastAsia="Times New Roman"/>
                <w:b w:val="false"/>
                <w:sz w:val="26"/>
              </w:rPr>
              <w:t>28-12-2012</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https://thutuc.dichvucong.gov.vn/p/home/dvc-tthc-thu-tuc-hanh-chinh-chi-tiet.html?ma_thu_tuc=3019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2025-11-27T16:45:46Z</dcterms:created>
  <dc:creator>Apache POI</dc:creator>
</cp:coreProperties>
</file>