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hành nghề luật sư với tư cách cá nhân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Luật sư hành nghề với tư cách cá nhân đăng ký hành nghề tại Sở Tư pháp ở địa phương nơi có Đoàn luật sư mà luật sư đó là thành viên.</w:t>
      </w:r>
    </w:p>
    <w:p>
      <w:pPr>
        <w:spacing w:after="0" w:before="0" w:lineRule="auto" w:line="276"/>
        <w:jc w:val="both"/>
      </w:pPr>
      <w:r>
        <w:rPr>
          <w:rFonts w:ascii="Times New Roman" w:hAnsi="Times New Roman" w:cs="Times New Roman" w:eastAsia="Times New Roman"/>
          <w:b w:val="false"/>
          <w:sz w:val="26"/>
        </w:rPr>
        <w:t>Trong thời hạn bảy ngày làm việc, kể từ ngày nhận đủ hồ sơ, Sở Tư pháp cấp Giấy đăng ký hành nghề luật sư.</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bảy ngày làm việc, kể từ ngày nhận đủ hồ sơ, Sở Tư pháp cấp Giấy đăng ký hành nghề luật sư.</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Nếu thủ tục hành chính đã được cung cấp trực tuyến:
Trong thời hạn bảy ngày làm việc, kể từ ngày nhận đủ hồ sơ, Sở Tư pháp cấp Giấy đăng ký hành nghề luật sư.</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bảy ngày làm việc, kể từ ngày nhận đủ hồ sơ, Sở Tư pháp cấp Giấy đăng ký hành nghề luật sư.</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Chứng chỉ hành nghề luật sư, bản sao Thẻ luật sư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Hợp đồng lao động ký kết với cơ quan,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đăng ký hành nghề luật sư</w:t>
            </w:r>
          </w:p>
        </w:tc>
        <w:tc>
          <w:p/>
          <w:p>
            <w:pPr>
              <w:spacing w:after="0" w:before="0" w:lineRule="auto" w:line="276"/>
              <w:jc w:val="left"/>
            </w:pPr>
            <w:r>
              <w:rPr>
                <w:rFonts w:ascii="Times New Roman" w:hAnsi="Times New Roman" w:cs="Times New Roman" w:eastAsia="Times New Roman"/>
                <w:b w:val="false"/>
                <w:sz w:val="26"/>
              </w:rPr>
              <w:t>5. TP-LS-05. De nghi dang ky LS HNVTCCN.doc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Chứng chỉ hành nghề luật sư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Thẻ luật sư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đăng ký hành nghề luật sư của luật sư hành nghề với tư cách cá nhân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20/2012/QH13</w:t>
            </w:r>
          </w:p>
        </w:tc>
        <w:tc>
          <w:p/>
          <w:p>
            <w:pPr>
              <w:spacing w:after="0" w:before="0" w:lineRule="auto" w:line="276"/>
              <w:jc w:val="left"/>
            </w:pPr>
            <w:r>
              <w:rPr>
                <w:rFonts w:ascii="Times New Roman" w:hAnsi="Times New Roman" w:cs="Times New Roman" w:eastAsia="Times New Roman"/>
                <w:b w:val="false"/>
                <w:sz w:val="26"/>
              </w:rPr>
              <w:t>Luật 20/2012/QH13</w:t>
            </w:r>
          </w:p>
        </w:tc>
        <w:tc>
          <w:p/>
          <w:p>
            <w:pPr>
              <w:spacing w:after="0" w:before="0" w:lineRule="auto" w:line="276"/>
              <w:jc w:val="left"/>
            </w:pPr>
            <w:r>
              <w:rPr>
                <w:rFonts w:ascii="Times New Roman" w:hAnsi="Times New Roman" w:cs="Times New Roman" w:eastAsia="Times New Roman"/>
                <w:b w:val="false"/>
                <w:sz w:val="26"/>
              </w:rPr>
              <w:t>20-11-2012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05/2021/TT-BTP</w:t>
            </w:r>
          </w:p>
        </w:tc>
        <w:tc>
          <w:p/>
          <w:p>
            <w:pPr>
              <w:spacing w:after="0" w:before="0" w:lineRule="auto" w:line="276"/>
              <w:jc w:val="left"/>
            </w:pPr>
            <w:r>
              <w:rPr>
                <w:rFonts w:ascii="Times New Roman" w:hAnsi="Times New Roman" w:cs="Times New Roman" w:eastAsia="Times New Roman"/>
                <w:b w:val="false"/>
                <w:sz w:val="26"/>
              </w:rPr>
              <w:t>Thông tư 05/2021/TT-BTP</w:t>
            </w:r>
          </w:p>
        </w:tc>
        <w:tc>
          <w:p/>
          <w:p>
            <w:pPr>
              <w:spacing w:after="0" w:before="0" w:lineRule="auto" w:line="276"/>
              <w:jc w:val="left"/>
            </w:pPr>
            <w:r>
              <w:rPr>
                <w:rFonts w:ascii="Times New Roman" w:hAnsi="Times New Roman" w:cs="Times New Roman" w:eastAsia="Times New Roman"/>
                <w:b w:val="false"/>
                <w:sz w:val="26"/>
              </w:rPr>
              <w:t>24-06-2021</w:t>
            </w:r>
          </w:p>
        </w:tc>
        <w:tc>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Luật sư hành nghề với tư cách cá nhân là luật sư làm việc theo Hợp đồng lao động cho cơ quan, tổ chức không phải là tổ chức hành nghề luật sư.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2025-11-27T15:50:48Z</dcterms:created>
  <dc:creator>Apache POI</dc:creator>
</cp:coreProperties>
</file>