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nhận thành viên nghiệp vụ thị trường mở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chi nhánh ngân hàng nước ngoài có nhu cầu tham gia thị trường mở gửi trực tiếp hoặc qua đường bưu điện Giấy đề nghị tham gia nghiệp vụ thị trường mở đến Ngân hàng Nhà nước.</w:t>
      </w:r>
    </w:p>
    <w:p>
      <w:pPr>
        <w:spacing w:after="0" w:before="0" w:lineRule="auto" w:line="276"/>
        <w:jc w:val="both"/>
      </w:pPr>
      <w:r>
        <w:rPr>
          <w:rFonts w:ascii="Times New Roman" w:hAnsi="Times New Roman" w:cs="Times New Roman" w:eastAsia="Times New Roman"/>
          <w:b w:val="false"/>
          <w:sz w:val="26"/>
        </w:rPr>
        <w:t xml:space="preserve">- Bước 2: Trong thời hạn 05 ngày làm việc kể từ ngày nhận được Giấy đề nghị tham gia nghiệp vụ thị trường mở của tổ chức tín dụng, chi nhánh ngân hàng nước ngoài, Ngân hàng Nhà nước thực hiện việc cấp Giấy công nhận thành viên nghiệp vụ thị trường mở đối với các tổ chức tín dụng, chi nhánh ngân hàng nước ngoài đáp ứng đủ điều kiện làm thành viên nghiệp vụ thị trường mở hoặc có văn bản trả lời cho tổ chức tín dụng, chi nhánh ngân hàng nước ngoài nếu không đủ điều kiện.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tham gia nghiệp vụ thị trường mở theo mẫu quy định;</w:t>
            </w:r>
          </w:p>
        </w:tc>
        <w:tc>
          <w:p/>
          <w:p>
            <w:pPr>
              <w:spacing w:after="0" w:before="0" w:lineRule="auto" w:line="276"/>
              <w:jc w:val="left"/>
            </w:pPr>
            <w:r>
              <w:rPr>
                <w:rFonts w:ascii="Times New Roman" w:hAnsi="Times New Roman" w:cs="Times New Roman" w:eastAsia="Times New Roman"/>
                <w:b w:val="false"/>
                <w:sz w:val="26"/>
              </w:rPr>
              <w:t>Giấy đề nghị tham gia nghiệp vụ thị trường mở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công nhận thành viên nghiệp vụ thị trường mở</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42/2015/TT-NHNN</w:t>
            </w:r>
          </w:p>
        </w:tc>
        <w:tc>
          <w:p/>
          <w:p>
            <w:pPr>
              <w:spacing w:after="0" w:before="0" w:lineRule="auto" w:line="276"/>
              <w:jc w:val="left"/>
            </w:pPr>
            <w:r>
              <w:rPr>
                <w:rFonts w:ascii="Times New Roman" w:hAnsi="Times New Roman" w:cs="Times New Roman" w:eastAsia="Times New Roman"/>
                <w:b w:val="false"/>
                <w:sz w:val="26"/>
              </w:rPr>
              <w:t>Thông tư 42/2015/TT-NHNN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Tổ chức tín dụng, chi nhánh ngân hàng nước ngoài đáp ứng đủ điều kiện về thành viên nghiệp vụ thị trường mở gồm:
- Có tài khoản thanh toán bằng đồng Việt Nam tại Ngân hàng Nhà nước.
- Được Ngân hàng Nhà nước cấp mã ngân hàng.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2025-11-27T16:46:14Z</dcterms:created>
  <dc:creator>Apache POI</dc:creator>
</cp:coreProperties>
</file>