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1.002161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1215/QĐ-BNNMT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chương trình, dự án và hoạt động phi dự án được hỗ trợ tài chính của Quỹ bảo vệ và phát triển rừng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Lâm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Trước ngày 31 tháng 12 hằng năm, tổ chức, hộ gia đình cá nhân, cộng đồng dân cư có nhu cầu hỗ trợ gửi văn bản đề nghị hỗ trợ, kèm theo văn kiện chương trình, dự án hoặc các hoạt động phi dự án đến Ban điều hành Quỹ Bảo vệ và phát triển rừng;</w:t>
      </w:r>
    </w:p>
    <w:p>
      <w:pPr>
        <w:spacing w:after="0" w:before="0" w:lineRule="auto" w:line="276"/>
        <w:jc w:val="both"/>
      </w:pPr>
      <w:r>
        <w:rPr>
          <w:rFonts w:ascii="Times New Roman" w:hAnsi="Times New Roman" w:cs="Times New Roman" w:eastAsia="Times New Roman"/>
          <w:b w:val="false"/>
          <w:sz w:val="26"/>
        </w:rPr>
        <w:t>Trước ngày 25 tháng 02 hằng năm, Ban điều hành Quỹ chủ trì, phối hợp với các cơ quan chức năng tổ chức thẩm định, báo cáo Hội đồng quản lý Quỹ thông qua, trình Bộ Nông nghiệp và Môi trường phê duyệt.</w:t>
      </w:r>
    </w:p>
    <w:p>
      <w:pPr>
        <w:spacing w:after="0" w:before="0" w:lineRule="auto" w:line="276"/>
        <w:jc w:val="both"/>
      </w:pPr>
      <w:r>
        <w:rPr>
          <w:rFonts w:ascii="Times New Roman" w:hAnsi="Times New Roman" w:cs="Times New Roman" w:eastAsia="Times New Roman"/>
          <w:b w:val="false"/>
          <w:sz w:val="26"/>
        </w:rPr>
        <w:t>Gửi kết quả thực hiện thủ tục hành chính đến tổ chức, cá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hỗ trợ, kèm theo văn kiện chương trình, dự án hoặc các hoạt động phi dự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Quỹ Bảo vệ và Phát triển rừng Việt Nam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Ban điều hành Quỹ bảo vệ và phát triển rừng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chương trình, dự án hoặc hoạt động phi dự án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156/2018/NĐ-CP</w:t>
            </w:r>
          </w:p>
        </w:tc>
        <w:tc>
          <w:p/>
          <w:p>
            <w:pPr>
              <w:spacing w:after="0" w:before="0" w:lineRule="auto" w:line="276"/>
              <w:jc w:val="left"/>
            </w:pPr>
            <w:r>
              <w:rPr>
                <w:rFonts w:ascii="Times New Roman" w:hAnsi="Times New Roman" w:cs="Times New Roman" w:eastAsia="Times New Roman"/>
                <w:b w:val="false"/>
                <w:sz w:val="26"/>
              </w:rPr>
              <w:t>Nghị định 156/2018/NĐ-CP</w:t>
            </w:r>
          </w:p>
        </w:tc>
        <w:tc>
          <w:p/>
          <w:p>
            <w:pPr>
              <w:spacing w:after="0" w:before="0" w:lineRule="auto" w:line="276"/>
              <w:jc w:val="left"/>
            </w:pPr>
            <w:r>
              <w:rPr>
                <w:rFonts w:ascii="Times New Roman" w:hAnsi="Times New Roman" w:cs="Times New Roman" w:eastAsia="Times New Roman"/>
                <w:b w:val="false"/>
                <w:sz w:val="26"/>
              </w:rPr>
              <w:t>16-11-2018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2025-11-27T16:46:18Z</dcterms:created>
  <dc:creator>Apache POI</dc:creator>
</cp:coreProperties>
</file>