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đăng ký lại, điều chỉnh đóng BHXH tự nguyện; cấp sổ BHXH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Thu BHXH, BHYT, BHTN, BH tai nạn lao động, BNN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Người tham gia
a) Trường hợp người tham gia đóng trực tiếp cho cơ quan BHXH hoặc Tổ chức dịch vụ: Lập hồ sơ theo quy định tại tiết 1.1 điểm 1 Mục Thành phần hồ sơ và nộp cho Tổ chức dịch vụ hoặc cơ quan BHXH trên phạm vi toàn quốc
b) Trường hợp người tham gia nộp hồ sơ qua Cổng Dịch vụ công: Lập hồ sơ theo quy định tại tiết 1.2 điểm 1 Mục Thành phần hồ sơ và nộp trực tuyến trên Cổng Dịch vụ công.
c) Trường hợp người tham gia có yêu cầu hoàn trả tiền đóng BHXH tự nguyện: Lập hồ sơ theo quy định tại tiết 1.3 điểm 1 Mục Thành phần hồ sơ, nộp trực tiếp cho cơ quan BHXH hoặc Tổ chức dịch vụ.</w:t>
      </w:r>
    </w:p>
    <w:p>
      <w:pPr>
        <w:spacing w:after="0" w:before="0" w:lineRule="auto" w:line="276"/>
        <w:jc w:val="both"/>
      </w:pPr>
      <w:r>
        <w:rPr>
          <w:rFonts w:ascii="Times New Roman" w:hAnsi="Times New Roman" w:cs="Times New Roman" w:eastAsia="Times New Roman"/>
          <w:b w:val="false"/>
          <w:sz w:val="26"/>
        </w:rPr>
        <w:t>2. Tổ chức dịch vụ: Nhận hồ sơ của người tham gia, lập hồ sơ theo quy định tại điểm 2 Mục Thành phần hồ sơ và nộp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 Đóng tiền</w:t>
      </w:r>
    </w:p>
    <w:p>
      <w:pPr>
        <w:spacing w:after="0" w:before="0" w:lineRule="auto" w:line="276"/>
        <w:jc w:val="both"/>
      </w:pPr>
      <w:r>
        <w:rPr>
          <w:rFonts w:ascii="Times New Roman" w:hAnsi="Times New Roman" w:cs="Times New Roman" w:eastAsia="Times New Roman"/>
          <w:b w:val="false"/>
          <w:sz w:val="26"/>
        </w:rPr>
        <w:t>1. Người tham gia: Đóng tiền theo phương thức đăng ký cho tổ chức dịch vụ hoặc cơ quan BHXH trên phạm vi toàn quốc hoặc đóng tiền trực tuyến khi thực hiện qua Cổng Dịch vụ công.</w:t>
      </w:r>
    </w:p>
    <w:p>
      <w:pPr>
        <w:spacing w:after="0" w:before="0" w:lineRule="auto" w:line="276"/>
        <w:jc w:val="both"/>
      </w:pPr>
      <w:r>
        <w:rPr>
          <w:rFonts w:ascii="Times New Roman" w:hAnsi="Times New Roman" w:cs="Times New Roman" w:eastAsia="Times New Roman"/>
          <w:b w:val="false"/>
          <w:sz w:val="26"/>
        </w:rPr>
        <w:t>2. Tổ chức dịch vụ: thu tiền đóng BHXH phần thuộc trách nhiệm đóng của người tham gia BHXH tự nguyện; cấp biên lai thu tiền cho người tham gia theo quy định. Nộp số tiền đã thu của người tham gia cho cơ quan BHXH hàng ngày thông qua tài khoản ngân hàng hoặc hệ thống tiện ích thông minh.</w:t>
      </w:r>
    </w:p>
    <w:p>
      <w:pPr>
        <w:shd w:val="clear" w:color="auto" w:fill="F2F6F9"/>
        <w:spacing w:after="0" w:before="120" w:lineRule="auto" w:line="276"/>
        <w:jc w:val="both"/>
      </w:pPr>
      <w:r>
        <w:rPr>
          <w:rFonts w:ascii="Times New Roman" w:hAnsi="Times New Roman" w:cs="Times New Roman" w:eastAsia="Times New Roman"/>
          <w:b w:val="true"/>
          <w:sz w:val="26"/>
        </w:rPr>
        <w:t>Bước 3.</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4.</w:t>
      </w:r>
    </w:p>
    <w:p>
      <w:pPr>
        <w:spacing w:after="0" w:before="0" w:lineRule="auto" w:line="276"/>
        <w:jc w:val="both"/>
      </w:pPr>
      <w:r>
        <w:rPr>
          <w:rFonts w:ascii="Times New Roman" w:hAnsi="Times New Roman" w:cs="Times New Roman" w:eastAsia="Times New Roman"/>
          <w:b w:val="false"/>
          <w:sz w:val="26"/>
        </w:rPr>
        <w:t>Nhận kết quả giải quyết gồm: Sổ BHXH; Quyết định hoàn trả (Mẫu C16-TS) và tiền hoàn trả (nếu có) theo hình thức đã đăng ký.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1.1. Đối với người tham gia đóng trực tiếp cho cơ quan BHXH, nộp hồ sơ bằng một trong các hình thức sau:
a) Trực tiếp tại Bộ phận Một cửa của cơ quan BHXH; 
b) Trực tuyến tại Cổng Dịch vụ công quốc gia hoặc Cổng Dịch vụ công BHXH Việt Nam;
c) Thông qua dịch vụ bưu chính.
1.2. Đối với người tham gia đóng cho Tổ chức dịch vụ: Nộp trực tiếp hồ sơ cho Tổ chức dịch vụ.
1.3. Đối với Tổ chức dịch vụ: Lập hồ sơ giao dịch điện tử hàng ngày gửi cơ quan BHXH.
2. Nộp tiền: 
2.1. Người tham gia có thể lựa chọn:
a) Nộp tiền mặt cho cơ quan BHXH (trong trường hợp người tham gia đóng trực tiếp cho cơ quan BHXH);
b) Nộp tiền mặt cho Tổ chức dịch vụ (trong trường hợp người tham gia đóng trực tiếp cho Tổ chức dịch vụ);
c) Nộp tiền thông qua tài khoản ngân hàng hoặc hệ thống tiện ích thông minh theo phương thức giao dịch đã lựa chọn.
2.2. Tổ chức dịch vụ: Nộp số tiền đã thu của người tham gia cho cơ quan BHXH hằng ngày thông qua tài khoản ngân hàng hoặc hệ thống tiện ích thông minh.
3. Nhận kết quả
a) Người tham gia đóng trực tiếp cho cơ quan BHXH, đóng theo phương thức trực tuyến: Nhận kết quả theo hình thức đăng ký.
b) Người tham gia đóng trực tiếp cho Tổ chức dịch vụ: Nhận kết quả từ Tổ chức dịch vụ.</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11. Nộp hồ sơ
1.1. Đối với người tham gia đóng trực tiếp cho cơ quan BHXH, nộp hồ sơ bằng một trong các hình thức sau:
a) Trực tiếp tại Bộ phận Một cửa của cơ quan BHXH; 
b) Trực tuyến tại Cổng Dịch vụ công quốc gia hoặc Cổng Dịch vụ công BHXH Việt Nam;
c) Thông qua dịch vụ bưu chính.
1.2. Đối với người tham gia đóng cho Tổ chức dịch vụ: Nộp trực tiếp hồ sơ cho Tổ chức dịch vụ.
1.3. Đối với Tổ chức dịch vụ: Lập hồ sơ giao dịch điện tử hàng ngày gửi cơ quan BHXH.
2. Nộp tiền: 
2.1. Người tham gia có thể lựa chọn:
a) Nộp tiền mặt cho cơ quan BHXH (trong trường hợp người tham gia đóng trực tiếp cho cơ quan BHXH);
b) Nộp tiền mặt cho Tổ chức dịch vụ (trong trường hợp người tham gia đóng trực tiếp cho Tổ chức dịch vụ);
c) Nộp tiền thông qua tài khoản ngân hàng hoặc hệ thống tiện ích thông minh theo phương thức giao dịch đã lựa chọn.
2.2. Tổ chức dịch vụ: Nộp số tiền đã thu của người tham gia cho cơ quan BHXH hằng ngày thông qua tài khoản ngân hàng hoặc hệ thống tiện ích thông minh.
3. Nhận kết quả
a) Người tham gia đóng trực tiếp cho cơ quan BHXH, đóng theo phương thức trực tuyến: Nhận kết quả theo hình thức đăng ký.
b) Người tham gia đóng trực tiếp cho Tổ chức dịch vụ: Nhận kết quả từ Tổ chức dịch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1.1. Đối với người tham gia đóng trực tiếp cho cơ quan BHXH, nộp hồ sơ bằng một trong các hình thức sau:
a) Trực tiếp tại Bộ phận Một cửa của cơ quan BHXH; 
b) Trực tuyến tại Cổng Dịch vụ công quốc gia hoặc Cổng Dịch vụ công BHXH Việt Nam;
c) Thông qua dịch vụ bưu chính.
1.2. Đối với người tham gia đóng cho Tổ chức dịch vụ: Nộp trực tiếp hồ sơ cho Tổ chức dịch vụ.
1.3. Đối với Tổ chức dịch vụ: Lập hồ sơ giao dịch điện tử hàng ngày gửi cơ quan BHXH.
2. Nộp tiền: 
2.1. Người tham gia có thể lựa chọn:
a) Nộp tiền mặt cho cơ quan BHXH (trong trường hợp người tham gia đóng trực tiếp cho cơ quan BHXH);
b) Nộp tiền mặt cho Tổ chức dịch vụ (trong trường hợp người tham gia đóng trực tiếp cho Tổ chức dịch vụ);
c) Nộp tiền thông qua tài khoản ngân hàng hoặc hệ thống tiện ích thông minh theo phương thức giao dịch đã lựa chọn.
2.2. Tổ chức dịch vụ: Nộp số tiền đã thu của người tham gia cho cơ quan BHXH hằng ngày thông qua tài khoản ngân hàng hoặc hệ thống tiện ích thông minh.
3. Nhận kết quả
a) Người tham gia đóng trực tiếp cho cơ quan BHXH, đóng theo phương thức trực tuyến: Nhận kết quả theo hình thức đăng ký.
b) Người tham gia đóng trực tiếp cho Tổ chức dịch vụ: Nhận kết quả từ Tổ chức dịch vụ.</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Người tham gia</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người tham gia đóng trực tiếp cho cơ quan BHXH hoặc Tổ chức dịch vụ: Tờ khai tham gia điều chỉnh thông tin BHXH, BHYT (Mẫu TK1-TS) đối với người tham gia lần đầu hoặc có mã số BHXH nhưng chưa đủ thông tin.</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tham gia nộp qua Cổng Dịch vụ công: Tờ khai điện tử đăng ký tham gia BHXH tự nguyện trên Cổng Dịch vụ công (Mẫu 02-TK</w:t>
            </w:r>
          </w:p>
        </w:tc>
        <w:tc>
          <w:p/>
          <w:p>
            <w:pPr>
              <w:spacing w:after="0" w:before="0" w:lineRule="auto" w:line="276"/>
              <w:jc w:val="left"/>
            </w:pPr>
            <w:r>
              <w:rPr>
                <w:rFonts w:ascii="Times New Roman" w:hAnsi="Times New Roman" w:cs="Times New Roman" w:eastAsia="Times New Roman"/>
                <w:b w:val="false"/>
                <w:sz w:val="26"/>
              </w:rPr>
              <w:t>Mẫu 02-TK.docx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hoàn trả tiền đã đóng - Tờ khai tham gia, điều chỉnh thông tin BHXH, BHYT (Mẫu TK1-TS); - Sổ BHXH; - Văn bản chứng thực hoặc bản chụp kèm theo bản chính giấy chứng tử (đối với trường hợp đã chết)</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 Đại lý thu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người tham gia BHXH tự nguyện  (Mẫu D05-TS)</w:t>
            </w:r>
          </w:p>
        </w:tc>
        <w:tc>
          <w:p/>
          <w:p>
            <w:pPr>
              <w:spacing w:after="0" w:before="0" w:lineRule="auto" w:line="276"/>
              <w:jc w:val="left"/>
            </w:pPr>
            <w:r>
              <w:rPr>
                <w:rFonts w:ascii="Times New Roman" w:hAnsi="Times New Roman" w:cs="Times New Roman" w:eastAsia="Times New Roman"/>
                <w:b w:val="false"/>
                <w:sz w:val="26"/>
              </w:rPr>
              <w:t>D05_TS.docx</w:t>
            </w:r>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thanh toán thù lao cho tổ chức làm dịch vụ thu (Mẫu C66a-HD) tương ứng với số tiền nộp.</w:t>
            </w:r>
          </w:p>
        </w:tc>
        <w:tc>
          <w:p/>
          <w:p>
            <w:pPr>
              <w:spacing w:after="0" w:before="0" w:lineRule="auto" w:line="276"/>
              <w:jc w:val="left"/>
            </w:pPr>
            <w:r>
              <w:rPr>
                <w:rFonts w:ascii="Times New Roman" w:hAnsi="Times New Roman" w:cs="Times New Roman" w:eastAsia="Times New Roman"/>
                <w:b w:val="false"/>
                <w:sz w:val="26"/>
              </w:rPr>
              <w:t>Mẫu C66a-HD.docx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Sổ BHXH, Quyết định về việc hoàn trả tiền thu BHXH, BHYT, BHTN, BHTNLĐ, BNN, Tiền hoàn trả (nếu có), Quyết định hoàn trả (mẫu C16-TS) và Tiền hoàn trả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01/2016/TT-BLĐTBXH</w:t>
            </w:r>
          </w:p>
        </w:tc>
        <w:tc>
          <w:p/>
          <w:p>
            <w:pPr>
              <w:spacing w:after="0" w:before="0" w:lineRule="auto" w:line="276"/>
              <w:jc w:val="left"/>
            </w:pPr>
            <w:r>
              <w:rPr>
                <w:rFonts w:ascii="Times New Roman" w:hAnsi="Times New Roman" w:cs="Times New Roman" w:eastAsia="Times New Roman"/>
                <w:b w:val="false"/>
                <w:sz w:val="26"/>
              </w:rPr>
              <w:t>Thông tư 01/2016/TT-BLĐTBXH</w:t>
            </w:r>
          </w:p>
        </w:tc>
        <w:tc>
          <w:p/>
          <w:p>
            <w:pPr>
              <w:spacing w:after="0" w:before="0" w:lineRule="auto" w:line="276"/>
              <w:jc w:val="left"/>
            </w:pPr>
            <w:r>
              <w:rPr>
                <w:rFonts w:ascii="Times New Roman" w:hAnsi="Times New Roman" w:cs="Times New Roman" w:eastAsia="Times New Roman"/>
                <w:b w:val="false"/>
                <w:sz w:val="26"/>
              </w:rPr>
              <w:t>18-02-2016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134/2015/NĐ-CP</w:t>
            </w:r>
          </w:p>
        </w:tc>
        <w:tc>
          <w:p/>
          <w:p>
            <w:pPr>
              <w:spacing w:after="0" w:before="0" w:lineRule="auto" w:line="276"/>
              <w:jc w:val="left"/>
            </w:pPr>
            <w:r>
              <w:rPr>
                <w:rFonts w:ascii="Times New Roman" w:hAnsi="Times New Roman" w:cs="Times New Roman" w:eastAsia="Times New Roman"/>
                <w:b w:val="false"/>
                <w:sz w:val="26"/>
              </w:rPr>
              <w:t>Nghị định 134/2015/NĐ-CP - Quy định chi tiết một số điều của luật bảo hiểm xã hội về bảo hiểm xã hội tự nguyện</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 xml:space="preserve">595/QĐ-BHXH </w:t>
            </w:r>
          </w:p>
        </w:tc>
        <w:tc>
          <w:p/>
          <w:p>
            <w:pPr>
              <w:spacing w:after="0" w:before="0" w:lineRule="auto" w:line="276"/>
              <w:jc w:val="left"/>
            </w:pPr>
            <w:r>
              <w:rPr>
                <w:rFonts w:ascii="Times New Roman" w:hAnsi="Times New Roman" w:cs="Times New Roman" w:eastAsia="Times New Roman"/>
                <w:b w:val="false"/>
                <w:sz w:val="26"/>
              </w:rPr>
              <w:t>ban hành Quy trình thu bảo hiểm xã hội, bảo hiểm y tế, bảo hiểm thất nghiệp, bảo hiểm tai nạn lao động, bệnh nghề nghiệp; cấp sổ bảo hiểm xã hội, thẻ bảo hiểm y tế</w:t>
            </w:r>
          </w:p>
        </w:tc>
        <w:tc>
          <w:p/>
          <w:p>
            <w:pPr>
              <w:spacing w:after="0" w:before="0" w:lineRule="auto" w:line="276"/>
              <w:jc w:val="left"/>
            </w:pPr>
            <w:r>
              <w:rPr>
                <w:rFonts w:ascii="Times New Roman" w:hAnsi="Times New Roman" w:cs="Times New Roman" w:eastAsia="Times New Roman"/>
                <w:b w:val="false"/>
                <w:sz w:val="26"/>
              </w:rPr>
              <w:t>14-04-2017</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888/QĐ-BHXH</w:t>
            </w:r>
          </w:p>
        </w:tc>
        <w:tc>
          <w:p/>
          <w:p>
            <w:pPr>
              <w:spacing w:after="0" w:before="0" w:lineRule="auto" w:line="276"/>
              <w:jc w:val="left"/>
            </w:pPr>
            <w:r>
              <w:rPr>
                <w:rFonts w:ascii="Times New Roman" w:hAnsi="Times New Roman" w:cs="Times New Roman" w:eastAsia="Times New Roman"/>
                <w:b w:val="false"/>
                <w:sz w:val="26"/>
              </w:rPr>
              <w:t>Sửa đổi, bổ sung một số điều Quy trình thu bảo hiểm xã hội, bảo hiểm y tế, bảo hiểm thất nghiệp, bảo hiệm tai nạn lao động, bệnh nghề nghiệp; quản lý sổ bảo hiểm xã hội, thẻ bảo hiểm y tế ban hành kèm theo Quyết định số 595/QĐ-BHXH ngày 14/04/2017 của Tổng Giám đốc Bảo hiểm Xã hội Việt Nam</w:t>
            </w:r>
          </w:p>
        </w:tc>
        <w:tc>
          <w:p/>
          <w:p>
            <w:pPr>
              <w:spacing w:after="0" w:before="0" w:lineRule="auto" w:line="276"/>
              <w:jc w:val="left"/>
            </w:pPr>
            <w:r>
              <w:rPr>
                <w:rFonts w:ascii="Times New Roman" w:hAnsi="Times New Roman" w:cs="Times New Roman" w:eastAsia="Times New Roman"/>
                <w:b w:val="false"/>
                <w:sz w:val="26"/>
              </w:rPr>
              <w:t>16-07-2018</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838/QĐ-BHXH</w:t>
            </w:r>
          </w:p>
        </w:tc>
        <w:tc>
          <w:p/>
          <w:p>
            <w:pPr>
              <w:spacing w:after="0" w:before="0" w:lineRule="auto" w:line="276"/>
              <w:jc w:val="left"/>
            </w:pPr>
            <w:r>
              <w:rPr>
                <w:rFonts w:ascii="Times New Roman" w:hAnsi="Times New Roman" w:cs="Times New Roman" w:eastAsia="Times New Roman"/>
                <w:b w:val="false"/>
                <w:sz w:val="26"/>
              </w:rPr>
              <w:t>ban hành quy trình giao dịch điện tử trong lĩnh vực bảo hiểm xã hội, bảo hiểm y tế, bảo hiểm thất nghiệp</w:t>
            </w:r>
          </w:p>
        </w:tc>
        <w:tc>
          <w:p/>
          <w:p>
            <w:pPr>
              <w:spacing w:after="0" w:before="0" w:lineRule="auto" w:line="276"/>
              <w:jc w:val="left"/>
            </w:pPr>
            <w:r>
              <w:rPr>
                <w:rFonts w:ascii="Times New Roman" w:hAnsi="Times New Roman" w:cs="Times New Roman" w:eastAsia="Times New Roman"/>
                <w:b w:val="false"/>
                <w:sz w:val="26"/>
              </w:rPr>
              <w:t>29-05-2017</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505/QĐ-BHXH</w:t>
            </w:r>
          </w:p>
        </w:tc>
        <w:tc>
          <w:p/>
          <w:p>
            <w:pPr>
              <w:spacing w:after="0" w:before="0" w:lineRule="auto" w:line="276"/>
              <w:jc w:val="left"/>
            </w:pPr>
            <w:r>
              <w:rPr>
                <w:rFonts w:ascii="Times New Roman" w:hAnsi="Times New Roman" w:cs="Times New Roman" w:eastAsia="Times New Roman"/>
                <w:b w:val="false"/>
                <w:sz w:val="26"/>
              </w:rPr>
              <w:t>Quyết định sửa đổi, bổ sung một số điều Quy trình thu BHXH, BHYT, BHTN, bảo hiểm TNLĐ-BNN; quản lý sổ BHXH, thẻ BHYT ban hành kèm theo Quyết định số 595/QĐ-BHXH ngày 14/4/2017 của Tổng Giám đốc BHXH Việt Nam</w:t>
            </w:r>
          </w:p>
        </w:tc>
        <w:tc>
          <w:p/>
          <w:p>
            <w:pPr>
              <w:spacing w:after="0" w:before="0" w:lineRule="auto" w:line="276"/>
              <w:jc w:val="left"/>
            </w:pPr>
            <w:r>
              <w:rPr>
                <w:rFonts w:ascii="Times New Roman" w:hAnsi="Times New Roman" w:cs="Times New Roman" w:eastAsia="Times New Roman"/>
                <w:b w:val="false"/>
                <w:sz w:val="26"/>
              </w:rPr>
              <w:t>27-03-2020</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102/2018/TT-BTC</w:t>
            </w:r>
          </w:p>
        </w:tc>
        <w:tc>
          <w:p/>
          <w:p>
            <w:pPr>
              <w:spacing w:after="0" w:before="0" w:lineRule="auto" w:line="276"/>
              <w:jc w:val="left"/>
            </w:pPr>
            <w:r>
              <w:rPr>
                <w:rFonts w:ascii="Times New Roman" w:hAnsi="Times New Roman" w:cs="Times New Roman" w:eastAsia="Times New Roman"/>
                <w:b w:val="false"/>
                <w:sz w:val="26"/>
              </w:rPr>
              <w:t>Thông tư 102/2018/TT-BTC</w:t>
            </w:r>
          </w:p>
        </w:tc>
        <w:tc>
          <w:p/>
          <w:p>
            <w:pPr>
              <w:spacing w:after="0" w:before="0" w:lineRule="auto" w:line="276"/>
              <w:jc w:val="left"/>
            </w:pPr>
            <w:r>
              <w:rPr>
                <w:rFonts w:ascii="Times New Roman" w:hAnsi="Times New Roman" w:cs="Times New Roman" w:eastAsia="Times New Roman"/>
                <w:b w:val="false"/>
                <w:sz w:val="26"/>
              </w:rPr>
              <w:t>14-11-2018</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490/QĐ-BHXH</w:t>
            </w:r>
          </w:p>
        </w:tc>
        <w:tc>
          <w:p/>
          <w:p>
            <w:pPr>
              <w:spacing w:after="0" w:before="0" w:lineRule="auto" w:line="276"/>
              <w:jc w:val="left"/>
            </w:pPr>
            <w:r>
              <w:rPr>
                <w:rFonts w:ascii="Times New Roman" w:hAnsi="Times New Roman" w:cs="Times New Roman" w:eastAsia="Times New Roman"/>
                <w:b w:val="false"/>
                <w:sz w:val="26"/>
              </w:rPr>
              <w:t>Quyết định số 490/QĐ-BHXH ngày 28 tháng 3 năm 2023 Tổng Giám đốc Bảo hiểm xã hội Việt Nam về sửa đổi, bổ sung một số điều của Quy trình thu bảo hiểm xã hội, bảo hiểm y tế, bảo hiểm thất nghiệp, bảo hiểm tai nạn lao động, bệnh nghề nghiệp; quản lý sổ bảo hiểm xã hội, thẻ bảo hiểm y tế ban hành kèm theo Quyết định số 595/QĐ-BHXH ngày 14 tháng 4 năm 2017 của Tổng Giám đốc Bảo hiểm xã hội Việt Nam và sửa đổi, bổ sung Điều 1 của Quyết định số 505/QĐ-BHXH ngày 27 tháng 3 năm 2020 của Tổng Giám đốc Bảo hiểm xã hội Việt Nam</w:t>
            </w:r>
          </w:p>
        </w:tc>
        <w:tc>
          <w:p/>
          <w:p>
            <w:pPr>
              <w:spacing w:after="0" w:before="0" w:lineRule="auto" w:line="276"/>
              <w:jc w:val="left"/>
            </w:pPr>
            <w:r>
              <w:rPr>
                <w:rFonts w:ascii="Times New Roman" w:hAnsi="Times New Roman" w:cs="Times New Roman" w:eastAsia="Times New Roman"/>
                <w:b w:val="false"/>
                <w:sz w:val="26"/>
              </w:rPr>
              <w:t>28-03-2023</w:t>
            </w:r>
          </w:p>
        </w:tc>
        <w:tc>
          <w:p/>
          <w:p>
            <w:pPr>
              <w:spacing w:after="0" w:before="0" w:lineRule="auto" w:line="276"/>
              <w:jc w:val="left"/>
            </w:pPr>
            <w:r>
              <w:rPr>
                <w:rFonts w:ascii="Times New Roman" w:hAnsi="Times New Roman" w:cs="Times New Roman" w:eastAsia="Times New Roman"/>
                <w:b w:val="false"/>
                <w:sz w:val="26"/>
              </w:rPr>
              <w:t>Đơn vị</w:t>
            </w:r>
          </w:p>
        </w:tc>
      </w:tr>
      <w:tr>
        <w:tc>
          <w:p/>
          <w:p>
            <w:pPr>
              <w:spacing w:after="0" w:before="0" w:lineRule="auto" w:line="276"/>
              <w:jc w:val="left"/>
            </w:pPr>
            <w:r>
              <w:rPr>
                <w:rFonts w:ascii="Times New Roman" w:hAnsi="Times New Roman" w:cs="Times New Roman" w:eastAsia="Times New Roman"/>
                <w:b w:val="false"/>
                <w:sz w:val="26"/>
              </w:rPr>
              <w:t>948/QĐ-BHXH</w:t>
            </w:r>
          </w:p>
        </w:tc>
        <w:tc>
          <w:p/>
          <w:p>
            <w:pPr>
              <w:spacing w:after="0" w:before="0" w:lineRule="auto" w:line="276"/>
              <w:jc w:val="left"/>
            </w:pPr>
            <w:r>
              <w:rPr>
                <w:rFonts w:ascii="Times New Roman" w:hAnsi="Times New Roman" w:cs="Times New Roman" w:eastAsia="Times New Roman"/>
                <w:b w:val="false"/>
                <w:sz w:val="26"/>
              </w:rPr>
              <w:t>Quyết định sửa đổi, bổ sung một số điều quy trình thu BHXH, BHYT, BHTN, BHTNLĐ - BNN; Quản lý sổ BHXH, thẻ BHYT ban hành kèm Quyết định số 595/QĐ-BHXH ngày 14/4/2017 và Quyết định số 490/QĐ-BHXH ngày 28/3/2023 của Tổng Giám đốc BHXH Việt Nam</w:t>
            </w:r>
          </w:p>
        </w:tc>
        <w:tc>
          <w:p/>
          <w:p>
            <w:pPr>
              <w:spacing w:after="0" w:before="0" w:lineRule="auto" w:line="276"/>
              <w:jc w:val="left"/>
            </w:pPr>
            <w:r>
              <w:rPr>
                <w:rFonts w:ascii="Times New Roman" w:hAnsi="Times New Roman" w:cs="Times New Roman" w:eastAsia="Times New Roman"/>
                <w:b w:val="false"/>
                <w:sz w:val="26"/>
              </w:rPr>
              <w:t>05-06-2023</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Đăng ký, đăng ký lại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2025-11-27T16:46:24Z</dcterms:created>
  <dc:creator>Apache POI</dc:creator>
</cp:coreProperties>
</file>