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của chi nhánh, công ty luật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sáu mươi ngày, kể từ ngày được cấp Giấy phép thành lập, chi nhánh, công ty luật nước ngoài phải đăng ký hoạt động tại Sở Tư pháp ở địa phương nơi đặt trụ sở.</w:t>
      </w:r>
    </w:p>
    <w:p>
      <w:pPr>
        <w:spacing w:after="0" w:before="0" w:lineRule="auto" w:line="276"/>
        <w:jc w:val="both"/>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chi nhánh, công ty luật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2.000.000 Đồng</w:t>
              <w:t xml:space="preserve"> (hồ sơ)</w:t>
              <w:br/>
              <w:t>File đính kèm: VanBanGoc_220-2016-TT-BTC.pdf</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chi nhánh, công ty luật nước ngoài.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2.000.000 Đồng</w:t>
            </w:r>
          </w:p>
        </w:tc>
        <w:tc>
          <w:p/>
          <w:p>
            <w:pPr>
              <w:spacing w:after="0" w:before="0" w:lineRule="auto" w:line="276"/>
              <w:jc w:val="left"/>
            </w:pPr>
            <w:r>
              <w:rPr>
                <w:rFonts w:ascii="Times New Roman" w:hAnsi="Times New Roman" w:cs="Times New Roman" w:eastAsia="Times New Roman"/>
                <w:b w:val="false"/>
                <w:sz w:val="26"/>
              </w:rPr>
              <w:t>Nếu thủ tục hành chính đã được cung cấp trực tuyến:
Trong thời hạn mười ngày làm việc, kể từ ngày nhận đủ hồ sơ, Sở Tư pháp cấp Giấy đăng ký hoạt động cho chi nhánh, công ty luật nước ngoài.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2.000.000 Đồng</w:t>
              <w:t xml:space="preserve"> (hồ sơ)</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chi nhánh, công ty luật nước ngoài.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chứng minh về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phép thành lập chi nhánh, công ty luật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ĐKHĐ Công ty Luật TNHH dưới hình thức liên doanh tại Việt Nam, Giấy ĐKHĐ Công ty Luật Hợp danh giữa tổ chức hành nghề luật sư nước ngoài và Công ty Luật hợp danh Việt Nam, Giấy ĐKHĐ của Công ty Luật TNHH 100% vốn nước ngoài tại Việt Nam, Giấy ĐKHĐ Chi nhánh của tổ chức hành nghề luật sư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2025-11-27T16:46:26Z</dcterms:created>
  <dc:creator>Apache POI</dc:creator>
</cp:coreProperties>
</file>