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bản sao Giấy phép từ bản gốc cho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phi ngân hàng phải gửi văn bản đề nghị Ngân hàng Nhà nước xem xét cấp bản sao Giấy phép từ bản gốc tới Ngân hàng Nhà nước;
+ Bước 2: Trong thời hạn 05 ngày làm việc kể từ ngày nhận được văn bản đề nghị, Ngân hàng Nhà nước xem xét hồ sơ và cấp lại bản sao Giấy phép từ bản gốc cho tổ chức tín dụng phi ngân hàng.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văn bản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văn bản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tổ chức tín dụng phi ngân hàng (trong đó văn bản nêu rõ lý do Giấy phép bị mất, bị rách, bị cháy hoặc bị hủy dưới hình thức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Giấy phép từ bản gốc cho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57/2024/TT-NHNN</w:t>
            </w:r>
          </w:p>
        </w:tc>
        <w:tc>
          <w:p/>
          <w:p>
            <w:pPr>
              <w:spacing w:after="0" w:before="0" w:lineRule="auto" w:line="276"/>
              <w:jc w:val="left"/>
            </w:pPr>
            <w:r>
              <w:rPr>
                <w:rFonts w:ascii="Times New Roman" w:hAnsi="Times New Roman" w:cs="Times New Roman" w:eastAsia="Times New Roman"/>
                <w:b w:val="false"/>
                <w:sz w:val="26"/>
              </w:rPr>
              <w:t>Thông tư quy định hồ sơ, thủ tục cấp Giấy phép lần đầu của tổ chức tín dụng phi ngân hàng.</w:t>
            </w:r>
          </w:p>
        </w:tc>
        <w:tc>
          <w:p/>
          <w:p>
            <w:pPr>
              <w:spacing w:after="0" w:before="0" w:lineRule="auto" w:line="276"/>
              <w:jc w:val="left"/>
            </w:pPr>
            <w:r>
              <w:rPr>
                <w:rFonts w:ascii="Times New Roman" w:hAnsi="Times New Roman" w:cs="Times New Roman" w:eastAsia="Times New Roman"/>
                <w:b w:val="false"/>
                <w:sz w:val="26"/>
              </w:rPr>
              <w:t>24-12-2024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2025-11-27T16:46:34Z</dcterms:created>
  <dc:creator>Apache POI</dc:creator>
</cp:coreProperties>
</file>