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1.002211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QĐ/0001-BTP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công nhận hòa giải viên (cấp xã)</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Hòa giải ở cơ sở</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kết quả bầu hòa giải viên đáp ứng yêu cầu quy định tại Điểm a, Điểm b Khoản 3 Điều 8 của Luật hòa giải ở cơ sở, Trưởng ban công tác Mặt trận lập danh sách người được đề nghị công nhận là hòa giải viên kèm theo biên bản kiểm phiếu hoặc biên bản về kết quả biểu quyết bầu hòa giải viên gửi Chủ tịch Ủy ban nhân dân cấp xã. Trong thời hạn 05 ngày làm việc, kể từ ngày nhận được danh sách người được đề nghị công nhận hòa giải viên, Chủ tịch Ủy ban nhân dân cấp xã xem xét, quyết định;
- Trường hợp số người được đề nghị công nhận là hòa giải viên lấy theo kết quả bỏ phiếu từ cao xuống thấp nhiều hơn số lượng hòa giải viên được Chủ tịch Ủy ban nhân dân cấp xã quyết định thì Trưởng ban công tác Mặt trận lập danh sách những người được đề nghị công nhận, trong đó bao gồm những người có số phiếu bằng nhau gửi Chủ tịch Ủy ban nhân dân cấp xã xem xét, quyết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Danh sách người được đề nghị công nhận là hòa giải viên (Mẫu số 06 tại Phụ lục ban hành kèm theo Nghị quyết liên tịch số 01/2014/NQLT-CP-UBTƯMTTQVN)</w:t>
            </w:r>
          </w:p>
        </w:tc>
        <w:tc>
          <w:p/>
          <w:p>
            <w:pPr>
              <w:spacing w:after="0" w:before="0" w:lineRule="auto" w:line="276"/>
              <w:jc w:val="left"/>
            </w:pPr>
            <w:r>
              <w:rPr>
                <w:rFonts w:ascii="Times New Roman" w:hAnsi="Times New Roman" w:cs="Times New Roman" w:eastAsia="Times New Roman"/>
                <w:b w:val="false"/>
                <w:sz w:val="26"/>
              </w:rPr>
              <w:t>Mẫu số 06.doc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Biên bản kiểm phiếu hoặc biên bản về kết quả biểu quyết bầu hòa giải viên (Mẫu số 01 tại Phụ lục ban hành kèm theo Nghị quyết liên tịch số 01/2014/NQLT-CP-UBTƯMTTQVN trong trường hợp bầu hòa giải viên bằng hình thức biểu quyết công khai; Mẫu số 02 tại Phụ lục ban hành kèm theo Nghị quyết liên tịch số 01/2014/NQLT-CP-UBTƯMTTQVN trong trường hợp bầu hòa giải viên bằng hình thức bỏ phiếu kín; Mẫu số 03 tại Phụ lục ban hành kèm theo Nghị quyết liên tịch số 01/2014/NQLT-CP-UBTƯMTTQVN trong trường hợp bầu hòa giải viên bằng hình thức phát phiếu bầu đến hộ gia đình).</w:t>
            </w:r>
          </w:p>
        </w:tc>
        <w:tc>
          <w:p/>
          <w:p>
            <w:pPr>
              <w:spacing w:after="0" w:before="0" w:lineRule="auto" w:line="276"/>
              <w:jc w:val="left"/>
            </w:pPr>
            <w:r>
              <w:rPr>
                <w:rFonts w:ascii="Times New Roman" w:hAnsi="Times New Roman" w:cs="Times New Roman" w:eastAsia="Times New Roman"/>
                <w:b w:val="false"/>
                <w:sz w:val="26"/>
              </w:rPr>
              <w:t>Mẫu 2.docx</w:t>
            </w:r>
          </w:p>
          <w:p>
            <w:pPr>
              <w:spacing w:after="0" w:before="0" w:lineRule="auto" w:line="276"/>
              <w:jc w:val="left"/>
            </w:pPr>
            <w:r>
              <w:rPr>
                <w:rFonts w:ascii="Times New Roman" w:hAnsi="Times New Roman" w:cs="Times New Roman" w:eastAsia="Times New Roman"/>
                <w:b w:val="false"/>
                <w:sz w:val="26"/>
              </w:rPr>
              <w:t>Mẫu 3.docx</w:t>
            </w:r>
          </w:p>
          <w:p>
            <w:pPr>
              <w:spacing w:after="0" w:before="0" w:lineRule="auto" w:line="276"/>
              <w:jc w:val="left"/>
            </w:pPr>
            <w:r>
              <w:rPr>
                <w:rFonts w:ascii="Times New Roman" w:hAnsi="Times New Roman" w:cs="Times New Roman" w:eastAsia="Times New Roman"/>
                <w:b w:val="false"/>
                <w:sz w:val="26"/>
              </w:rPr>
              <w:t>Mẫu 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hòa giải viên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Không có thông tin</w:t>
            </w:r>
          </w:p>
        </w:tc>
        <w:tc>
          <w:p/>
          <w:p>
            <w:pPr>
              <w:spacing w:after="0" w:before="0" w:lineRule="auto" w:line="276"/>
              <w:jc w:val="left"/>
            </w:pPr>
            <w:r>
              <w:rPr>
                <w:rFonts w:ascii="Times New Roman" w:hAnsi="Times New Roman" w:cs="Times New Roman" w:eastAsia="Times New Roman"/>
                <w:b w:val="false"/>
                <w:sz w:val="26"/>
              </w:rPr>
              <w:t>Không có thông tin</w:t>
            </w:r>
          </w:p>
        </w:tc>
        <w:tc>
          <w:p/>
          <w:p>
            <w:pPr>
              <w:spacing w:after="0" w:before="0" w:lineRule="auto" w:line="276"/>
              <w:jc w:val="left"/>
            </w:pPr>
            <w:r>
              <w:rPr>
                <w:rFonts w:ascii="Times New Roman" w:hAnsi="Times New Roman" w:cs="Times New Roman" w:eastAsia="Times New Roman"/>
                <w:b w:val="false"/>
                <w:sz w:val="26"/>
              </w:rPr>
              <w:t>28-08-2019</w:t>
            </w:r>
          </w:p>
        </w:tc>
        <w:tc>
          <w:p/>
        </w:tc>
      </w:tr>
      <w:tr>
        <w:tc>
          <w:p/>
          <w:p>
            <w:pPr>
              <w:spacing w:after="0" w:before="0" w:lineRule="auto" w:line="276"/>
              <w:jc w:val="left"/>
            </w:pPr>
            <w:r>
              <w:rPr>
                <w:rFonts w:ascii="Times New Roman" w:hAnsi="Times New Roman" w:cs="Times New Roman" w:eastAsia="Times New Roman"/>
                <w:b w:val="false"/>
                <w:sz w:val="26"/>
              </w:rPr>
              <w:t>35/2013/QH13</w:t>
            </w:r>
          </w:p>
        </w:tc>
        <w:tc>
          <w:p/>
          <w:p>
            <w:pPr>
              <w:spacing w:after="0" w:before="0" w:lineRule="auto" w:line="276"/>
              <w:jc w:val="left"/>
            </w:pPr>
            <w:r>
              <w:rPr>
                <w:rFonts w:ascii="Times New Roman" w:hAnsi="Times New Roman" w:cs="Times New Roman" w:eastAsia="Times New Roman"/>
                <w:b w:val="false"/>
                <w:sz w:val="26"/>
              </w:rPr>
              <w:t>Luật Hòa giải ở cơ sở</w:t>
            </w:r>
          </w:p>
        </w:tc>
        <w:tc>
          <w:p/>
          <w:p>
            <w:pPr>
              <w:spacing w:after="0" w:before="0" w:lineRule="auto" w:line="276"/>
              <w:jc w:val="left"/>
            </w:pPr>
            <w:r>
              <w:rPr>
                <w:rFonts w:ascii="Times New Roman" w:hAnsi="Times New Roman" w:cs="Times New Roman" w:eastAsia="Times New Roman"/>
                <w:b w:val="false"/>
                <w:sz w:val="26"/>
              </w:rPr>
              <w:t>20-06-2013</w:t>
            </w:r>
          </w:p>
        </w:tc>
        <w:tc>
          <w:p/>
        </w:tc>
      </w:tr>
      <w:tr>
        <w:tc>
          <w:p/>
          <w:p>
            <w:pPr>
              <w:spacing w:after="0" w:before="0" w:lineRule="auto" w:line="276"/>
              <w:jc w:val="left"/>
            </w:pPr>
            <w:r>
              <w:rPr>
                <w:rFonts w:ascii="Times New Roman" w:hAnsi="Times New Roman" w:cs="Times New Roman" w:eastAsia="Times New Roman"/>
                <w:b w:val="false"/>
                <w:sz w:val="26"/>
              </w:rPr>
              <w:t xml:space="preserve">01/2014/NQLT/CP-UBTƯMTTQVN </w:t>
            </w:r>
          </w:p>
        </w:tc>
        <w:tc>
          <w:p/>
          <w:p>
            <w:pPr>
              <w:spacing w:after="0" w:before="0" w:lineRule="auto" w:line="276"/>
              <w:jc w:val="left"/>
            </w:pPr>
            <w:r>
              <w:rPr>
                <w:rFonts w:ascii="Times New Roman" w:hAnsi="Times New Roman" w:cs="Times New Roman" w:eastAsia="Times New Roman"/>
                <w:b w:val="false"/>
                <w:sz w:val="26"/>
              </w:rPr>
              <w:t>hướng dẫn phối hợp thực hiện một số quy định của pháp luật về hòa giải ở cơ sở</w:t>
            </w:r>
          </w:p>
        </w:tc>
        <w:tc>
          <w:p/>
          <w:p>
            <w:pPr>
              <w:spacing w:after="0" w:before="0" w:lineRule="auto" w:line="276"/>
              <w:jc w:val="left"/>
            </w:pPr>
            <w:r>
              <w:rPr>
                <w:rFonts w:ascii="Times New Roman" w:hAnsi="Times New Roman" w:cs="Times New Roman" w:eastAsia="Times New Roman"/>
                <w:b w:val="false"/>
                <w:sz w:val="26"/>
              </w:rPr>
              <w:t>18-11-2014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được đề nghị công nhận là hòa giải viên phải đạt trên 50% đại diện hộ gia đình trong thôn, tổ dân phố đồng 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https://thutuc.dichvucong.gov.vn/p/home/dvc-tthc-thu-tuc-hanh-chinh-chi-tiet.html?ma_thu_tuc=3186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2025-11-27T16:46:39Z</dcterms:created>
  <dc:creator>Apache POI</dc:creator>
</cp:coreProperties>
</file>