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1215/QĐ-BNNMT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hoặc điều chỉnh đề án du lịch sinh thái, nghỉ dưỡng, giải trí trong rừng đặc dụng thuộc Bộ Nông nghiệp và Phát triển nông thôn quản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Lâm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tiếp nhận hồ sơ
Chủ rừng gửi trực tiếp hoặc qua dịch vụ bưu chính hoặc qua môi trường điện tử 01 bộ hồ sơ đến Cục Lâm nghiệp và Kiểm lâm.
Trường hợp hồ sơ không hợp lệ, trong thời gian 03 ngày làm việc kể từ ngày nhận được hồ sơ, Cục Lâm nghiệp và Kiểm lâm có văn bản gửi chủ rừng để hoàn thiện và nêu rõ lý do;</w:t>
      </w:r>
    </w:p>
    <w:p>
      <w:pPr>
        <w:spacing w:after="0" w:before="0" w:lineRule="auto" w:line="276"/>
        <w:jc w:val="both"/>
      </w:pPr>
      <w:r>
        <w:rPr>
          <w:rFonts w:ascii="Times New Roman" w:hAnsi="Times New Roman" w:cs="Times New Roman" w:eastAsia="Times New Roman"/>
          <w:b w:val="false"/>
          <w:sz w:val="26"/>
        </w:rPr>
        <w:t>b) Bước 2: Thẩm định
Trong thời gian 05 ngày kể từ ngày nhận được hồ sơ hợp lệ, Cục Lâm nghiệp và Kiểm lâm tổ chức lấy ý kiến thẩm định bằng văn bản của cơ quan, tổ chức, cá nhân có liên quan về hồ sơ và nội dung của đề án du lịch sinh thái, nghỉ dưỡng, giải trí.
Trong thời gian 15 ngày kể từ ngày nhận được văn bản lấy ý kiến, cơ quan, tổ chức, cá nhân có ý kiến bằng văn bản gửi Cục Lâm nghiệp và Kiểm lâm;
Trong thời gian 15 ngày kể từ ngày nhận được ý kiến thẩm định bằng văn bản của cơ quan, tổ chức, cá nhân, Cục Lâm nghiệp và Kiểm lâm có trách nhiệm hoàn thành thẩm định.</w:t>
      </w:r>
    </w:p>
    <w:p>
      <w:pPr>
        <w:spacing w:after="0" w:before="0" w:lineRule="auto" w:line="276"/>
        <w:jc w:val="both"/>
      </w:pPr>
      <w:r>
        <w:rPr>
          <w:rFonts w:ascii="Times New Roman" w:hAnsi="Times New Roman" w:cs="Times New Roman" w:eastAsia="Times New Roman"/>
          <w:b w:val="false"/>
          <w:sz w:val="26"/>
        </w:rPr>
        <w:t>c) Bước 3: Quyết định phê duyệt
Trong thời gian 10 ngày kể từ ngày nhận được đầy đủ hồ sơ do Cục Lâm nghiệp và Kiểm lâm trình, Bộ Nông nghiệp và Môi trường quyết định phê duyệt hoặc điều chỉnh đề án du lịch sinh thái, nghỉ dưỡng, giải trí.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Tờ trình của chủ rừng;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Đề án du lịch sinh thái, nghỉ dưỡng, giải trí quy định tại khoản 1 Điều 14 Nghị định số 156/2018/NĐ-CP được sửa đổi, bổ sung tại khoản 6 Điều 1 Nghị định số 91/2024/NĐ-CP, cụ thể: + Đánh giá sơ bộ hiện trạng rừng, khả năng tổ chức thực hiện và các loại sản phẩm, dịch vụ du lịch sinh thái, nghỉ dưỡng, giải trí; + Thuyết minh sơ bộ phương án phát triển các tuyến, địa điểm tổ chức du lịch sinh thái, nghỉ dưỡng, giải trí bao gồm: vị trí, diện tích, hiện trạng, mục đích, thời gian và dự kiến phương thức tổ chức thực hiện; + Vị trí, địa điểm, quy mô, vật liệu, chiều cao, mật độ, tỷ lệ dự kiến và thời gian tồn tại của công trình phục vụ du lịch sinh thái, nghỉ dưỡng, giải trí tùy thuộc vào hiện trạng rừng từng khu vực, bảo đảm chức năng của khu rừng và tuân thủ các nguyên tắc quy định tại Điều 15 Nghị định số 91/2024/NĐ-CP; + Các giải pháp thực hiện đề án bao gồm: giải pháp về vốn, nguồn lực đầu tư; các giải pháp về bảo vệ, phát triển rừng, bảo tồn thiên nhiên, đa dạng sinh học và bảo vệ môi trường; phòng cháy, chữa cháy; phương thức tổ chức du lịch sinh thái, nghỉ dưỡng, giải trí; giá cho thuê môi trường rừng theo quy định tại khoản 6 Điều 14 Nghị định số 156/2018/NĐ-CP được sửa đổi, bổ sung tại khoản 6 Điều 1 Nghị định số 91/2024/NĐ-CP; + Tổ chức giám sát hoạt động du lịch sinh thái, nghỉ dưỡng, giải trí; + Bản đồ hiện trạng rừng của khu rừng đặc dụng tỷ lệ 1/10.000 hoặc 1/25.000 theo hệ quy chiếu VN2000; + Bản vẽ tổng mặt bằng các tuyến, điểm du lịch sinh thái, nghỉ dưỡng, giải trí, tổ chức không gian kiến trúc và hạ tầng du lịch của khu rừng đặc dụng tỷ lệ 1/10.000 hoặc 1/25.000: xác định chỉ tiêu sử dụng mặt bằng xây dựng, chiều cao công trình đối với từng tuyến, điểm; vị trí, quy mô các công trình ngầm; các yêu cầu khác bảo đảm khai thác, quản lý rừng bền vững (nếu có); + Bản đồ tỷ lệ 1/10.000 hoặc 1/25.000 theo hệ quy chiếu VN2000 và thuyết minh về định hướng hệ thống hạ tầng kỹ thuật: khu vực dự kiến điểm đấu nối và mạng lưới giao thông; đường cáp trên không gồm tuyến cáp, nhà ga và trụ đỡ; hệ thống đấu nối và khả năng cấp điện, cấp nước, thoát nước, thông tin liên lạc, phòng cháy,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Lâm nghiệp và Kiểm lâm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Số 2 Ngọc Hà - Ba Đình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hoặc điều chỉnh đề án du lịch sinh thái, nghỉ dưỡng, giải trí.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156/2018/NĐ-CP</w:t>
            </w:r>
          </w:p>
        </w:tc>
        <w:tc>
          <w:p/>
          <w:p>
            <w:pPr>
              <w:spacing w:after="0" w:before="0" w:lineRule="auto" w:line="276"/>
              <w:jc w:val="left"/>
            </w:pPr>
            <w:r>
              <w:rPr>
                <w:rFonts w:ascii="Times New Roman" w:hAnsi="Times New Roman" w:cs="Times New Roman" w:eastAsia="Times New Roman"/>
                <w:b w:val="false"/>
                <w:sz w:val="26"/>
              </w:rPr>
              <w:t>Nghị định 156/2018/NĐ-CP</w:t>
            </w:r>
          </w:p>
        </w:tc>
        <w:tc>
          <w:p/>
          <w:p>
            <w:pPr>
              <w:spacing w:after="0" w:before="0" w:lineRule="auto" w:line="276"/>
              <w:jc w:val="left"/>
            </w:pPr>
            <w:r>
              <w:rPr>
                <w:rFonts w:ascii="Times New Roman" w:hAnsi="Times New Roman" w:cs="Times New Roman" w:eastAsia="Times New Roman"/>
                <w:b w:val="false"/>
                <w:sz w:val="26"/>
              </w:rPr>
              <w:t>16-11-2018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91/2024/NĐ-CP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156/2018/NĐ-CP ngày 16/11/2018 của Chính phủ quy định chi tiết thi hành một số điều của Luật Lâm nghiệp</w:t>
            </w:r>
          </w:p>
        </w:tc>
        <w:tc>
          <w:p/>
          <w:p>
            <w:pPr>
              <w:spacing w:after="0" w:before="0" w:lineRule="auto" w:line="276"/>
              <w:jc w:val="left"/>
            </w:pPr>
            <w:r>
              <w:rPr>
                <w:rFonts w:ascii="Times New Roman" w:hAnsi="Times New Roman" w:cs="Times New Roman" w:eastAsia="Times New Roman"/>
                <w:b w:val="false"/>
                <w:sz w:val="26"/>
              </w:rPr>
              <w:t>18-07-2024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2025-11-27T16:47:00Z</dcterms:created>
  <dc:creator>Apache POI</dc:creator>
</cp:coreProperties>
</file>