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vay vốn tín dụng đầu tư của Nhà nước (Áp dụng đối với cả các dự án vốn nước ngoài NHPT duyệt vay, chịu rủi ro tín dụng): Ký kết hợp đồng bảo đảm tiền vay</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Tín dụng của Nhà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Cán bộ tín dụng tiếp nhận hồ sơ, kiểm tra điều kiện ký Hợp đồng bảo đảm tiên vay, đồng thời nhận biết yếu tố bất lợi có thể mới xuất hiện và chuẩn bị cho bước soạn thảo hợp đồng bảo đảm tiền vay.
</w:t>
      </w:r>
    </w:p>
    <w:p>
      <w:pPr>
        <w:spacing w:after="0" w:before="0" w:lineRule="auto" w:line="276"/>
        <w:jc w:val="both"/>
      </w:pPr>
      <w:r>
        <w:rPr>
          <w:rFonts w:ascii="Times New Roman" w:hAnsi="Times New Roman" w:cs="Times New Roman" w:eastAsia="Times New Roman"/>
          <w:b w:val="false"/>
          <w:sz w:val="26"/>
        </w:rPr>
        <w:t>Bước 2: Dự thảo hợp đồng bảo đảm tiền vay	
- Căn cứ Thông báo cho vay vốn tín dụng đầu tư của dự án và kết quả định giá tài sản bảo đảm tiền vay hoặc căn cứ hợp đồng tín dụng (nếu ký trước), Chi nhánh NHPT soạn thảo Hợp đồng bảo đảm tiền vay trên cơ sở Hợp đồng mẫu của NHPT.</w:t>
      </w:r>
    </w:p>
    <w:p>
      <w:pPr>
        <w:spacing w:after="0" w:before="0" w:lineRule="auto" w:line="276"/>
        <w:jc w:val="both"/>
      </w:pPr>
      <w:r>
        <w:rPr>
          <w:rFonts w:ascii="Times New Roman" w:hAnsi="Times New Roman" w:cs="Times New Roman" w:eastAsia="Times New Roman"/>
          <w:b w:val="false"/>
          <w:sz w:val="26"/>
        </w:rPr>
        <w:t>Bước 3: Hoàn thiện dự thảo Hợp đồng bảo đảm tiền vay, thống nhất nội dung Hợp đồng bảo đảm tiền vay	
- Sau khi Hợp đồng bảo đảm tiền vay được dự thảo, chỉnh sửa, Chi nhánh chuyển dự thảo Hợp đồng bảo đảm tiền vay cho Khách hàng/bên bảo đảm xem xét, thảo luận, cho ý kiến để hoàn thiện dự thảo Hợp đồng; thống nhất nội dung Hợp đồng. 
- Sau khi có sự thống nhất của Khách hàng về nội dung thương thảo trong Hợp đồng, Giám đốc Chi nhánh NHPT thông qua.</w:t>
      </w:r>
    </w:p>
    <w:p>
      <w:pPr>
        <w:spacing w:after="0" w:before="0" w:lineRule="auto" w:line="276"/>
        <w:jc w:val="both"/>
      </w:pPr>
      <w:r>
        <w:rPr>
          <w:rFonts w:ascii="Times New Roman" w:hAnsi="Times New Roman" w:cs="Times New Roman" w:eastAsia="Times New Roman"/>
          <w:b w:val="false"/>
          <w:sz w:val="26"/>
        </w:rPr>
        <w:t>Bước 4: Ký kết Hợp đồng bảo đảm tiền vay	
- Sau khi hoàn chỉnh Hợp đồng bảo đảm tiền vay, Chi nhánh NHPT thực hiện việc ký Hợp đồng bảo đảm tiền vay với Khách hàng.
- Hợp đồng bảo đảm tiền vay cần được ký kết bởi người đại diện có thẩm quyền của các bên. 
- Hợp đồng bảo đảm tiền vay có thể ký trước, ký cùng hoặc ký sau Hợp đồng tín dụng.</w:t>
      </w:r>
    </w:p>
    <w:p>
      <w:pPr>
        <w:spacing w:after="0" w:before="0" w:lineRule="auto" w:line="276"/>
        <w:jc w:val="both"/>
      </w:pPr>
      <w:r>
        <w:rPr>
          <w:rFonts w:ascii="Times New Roman" w:hAnsi="Times New Roman" w:cs="Times New Roman" w:eastAsia="Times New Roman"/>
          <w:b w:val="false"/>
          <w:sz w:val="26"/>
        </w:rPr>
        <w:t>Bước 5: Nhận hồ sơ liên quan tới tài sản bảo đảm.</w:t>
      </w:r>
    </w:p>
    <w:p>
      <w:pPr>
        <w:spacing w:after="0" w:before="0" w:lineRule="auto" w:line="276"/>
        <w:jc w:val="both"/>
      </w:pPr>
      <w:r>
        <w:rPr>
          <w:rFonts w:ascii="Times New Roman" w:hAnsi="Times New Roman" w:cs="Times New Roman" w:eastAsia="Times New Roman"/>
          <w:b w:val="false"/>
          <w:sz w:val="26"/>
        </w:rPr>
        <w:t>Bước 6: Công chứng và đăng ký giao dịch bảo đảm.</w:t>
      </w:r>
    </w:p>
    <w:p>
      <w:pPr>
        <w:spacing w:after="0" w:before="0" w:lineRule="auto" w:line="276"/>
        <w:jc w:val="both"/>
      </w:pPr>
      <w:r>
        <w:rPr>
          <w:rFonts w:ascii="Times New Roman" w:hAnsi="Times New Roman" w:cs="Times New Roman" w:eastAsia="Times New Roman"/>
          <w:b w:val="false"/>
          <w:sz w:val="26"/>
        </w:rPr>
        <w:t>Bước 7: Gửi Hợp đồng bảo đảm tiền vay cho các bên có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Tuỳ thuộc vào bên bảo đảm và loại tài sản bảo đảm, NHPT yêu cầu bên bảo đảm cung cấp hồ sơ bảo đảm là bản chính hoặc bản sao có chứng thực của các giấy tờ liên quan đến bên bảo đảm và tài sản bảo đảm như sau: 1. Các giấy tờ pháp lý về bên bảo đảm: a- Quyết định thành lập của cơ quan có thẩm quyền hoặc Giấy chứng nhận đăng ký kinh doanh (nếu có); b- Điều lệ hoạt động (nếu có); c- Giấy tờ tùy thân và Các giấy tờ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Các giấy tờ pháp lý của tài sản bảo đảm: a- Giấy tờ chứng minh quyền sở hữu, quyền sử dụng, quản lý tài sản bảo đảm;  b- Chứng thư định giá hoặc biên bản thoả thuận giữa các bên về xác định giá trị tài sản bảo đảm; c- Hợp đồng bảo hiểm của tài sản (nếu có); d- Các giấy tờ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giao dịch, Chi nhánh NHPT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giao dịch, Chi nhánh NHPT</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Cơ quan công chứng, Cơ quan chứng thực, Cơ quan đăng ký giao dịch bảo đảm</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Hợp đồng bảo đảm tiền vay, Cho vay vốn tín dụng đầu tư của Nhà nước (Áp dụng cho cả các dự án vốn nước ngoài): Ký kết hợp đồng bảo đảm tiền vay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42/QĐ-HĐQL</w:t>
            </w:r>
          </w:p>
        </w:tc>
        <w:tc>
          <w:p/>
          <w:p>
            <w:pPr>
              <w:spacing w:after="0" w:before="0" w:lineRule="auto" w:line="276"/>
              <w:jc w:val="left"/>
            </w:pPr>
            <w:r>
              <w:rPr>
                <w:rFonts w:ascii="Times New Roman" w:hAnsi="Times New Roman" w:cs="Times New Roman" w:eastAsia="Times New Roman"/>
                <w:b w:val="false"/>
                <w:sz w:val="26"/>
              </w:rPr>
              <w:t>Quyết định 42/QĐ-HĐQL</w:t>
            </w:r>
          </w:p>
        </w:tc>
        <w:tc>
          <w:p/>
          <w:p>
            <w:pPr>
              <w:spacing w:after="0" w:before="0" w:lineRule="auto" w:line="276"/>
              <w:jc w:val="left"/>
            </w:pPr>
            <w:r>
              <w:rPr>
                <w:rFonts w:ascii="Times New Roman" w:hAnsi="Times New Roman" w:cs="Times New Roman" w:eastAsia="Times New Roman"/>
                <w:b w:val="false"/>
                <w:sz w:val="26"/>
              </w:rPr>
              <w:t>17-09-2007</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4274/NHPT-PC</w:t>
            </w:r>
          </w:p>
        </w:tc>
        <w:tc>
          <w:p/>
          <w:p>
            <w:pPr>
              <w:spacing w:after="0" w:before="0" w:lineRule="auto" w:line="276"/>
              <w:jc w:val="left"/>
            </w:pPr>
            <w:r>
              <w:rPr>
                <w:rFonts w:ascii="Times New Roman" w:hAnsi="Times New Roman" w:cs="Times New Roman" w:eastAsia="Times New Roman"/>
                <w:b w:val="false"/>
                <w:sz w:val="26"/>
              </w:rPr>
              <w:t>Công văn 4274/NHPT-PC</w:t>
            </w:r>
          </w:p>
        </w:tc>
        <w:tc>
          <w:p/>
          <w:p>
            <w:pPr>
              <w:spacing w:after="0" w:before="0" w:lineRule="auto" w:line="276"/>
              <w:jc w:val="left"/>
            </w:pPr>
            <w:r>
              <w:rPr>
                <w:rFonts w:ascii="Times New Roman" w:hAnsi="Times New Roman" w:cs="Times New Roman" w:eastAsia="Times New Roman"/>
                <w:b w:val="false"/>
                <w:sz w:val="26"/>
              </w:rPr>
              <w:t>22-12-2007</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106/2008/NĐ-CP</w:t>
            </w:r>
          </w:p>
        </w:tc>
        <w:tc>
          <w:p/>
          <w:p>
            <w:pPr>
              <w:spacing w:after="0" w:before="0" w:lineRule="auto" w:line="276"/>
              <w:jc w:val="left"/>
            </w:pPr>
            <w:r>
              <w:rPr>
                <w:rFonts w:ascii="Times New Roman" w:hAnsi="Times New Roman" w:cs="Times New Roman" w:eastAsia="Times New Roman"/>
                <w:b w:val="false"/>
                <w:sz w:val="26"/>
              </w:rPr>
              <w:t>Nghị định 106/2008/NĐ-CP</w:t>
            </w:r>
          </w:p>
        </w:tc>
        <w:tc>
          <w:p/>
          <w:p>
            <w:pPr>
              <w:spacing w:after="0" w:before="0" w:lineRule="auto" w:line="276"/>
              <w:jc w:val="left"/>
            </w:pPr>
            <w:r>
              <w:rPr>
                <w:rFonts w:ascii="Times New Roman" w:hAnsi="Times New Roman" w:cs="Times New Roman" w:eastAsia="Times New Roman"/>
                <w:b w:val="false"/>
                <w:sz w:val="26"/>
              </w:rPr>
              <w:t>19-09-2008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45/2013/QH13</w:t>
            </w:r>
          </w:p>
        </w:tc>
        <w:tc>
          <w:p/>
          <w:p>
            <w:pPr>
              <w:spacing w:after="0" w:before="0" w:lineRule="auto" w:line="276"/>
              <w:jc w:val="left"/>
            </w:pPr>
            <w:r>
              <w:rPr>
                <w:rFonts w:ascii="Times New Roman" w:hAnsi="Times New Roman" w:cs="Times New Roman" w:eastAsia="Times New Roman"/>
                <w:b w:val="false"/>
                <w:sz w:val="26"/>
              </w:rPr>
              <w:t>Luật Đất đai</w:t>
            </w:r>
          </w:p>
        </w:tc>
        <w:tc>
          <w:p/>
          <w:p>
            <w:pPr>
              <w:spacing w:after="0" w:before="0" w:lineRule="auto" w:line="276"/>
              <w:jc w:val="left"/>
            </w:pPr>
            <w:r>
              <w:rPr>
                <w:rFonts w:ascii="Times New Roman" w:hAnsi="Times New Roman" w:cs="Times New Roman" w:eastAsia="Times New Roman"/>
                <w:b w:val="false"/>
                <w:sz w:val="26"/>
              </w:rPr>
              <w:t>29-11-2013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151/2006/NĐ-CP</w:t>
            </w:r>
          </w:p>
        </w:tc>
        <w:tc>
          <w:p/>
          <w:p>
            <w:pPr>
              <w:spacing w:after="0" w:before="0" w:lineRule="auto" w:line="276"/>
              <w:jc w:val="left"/>
            </w:pPr>
            <w:r>
              <w:rPr>
                <w:rFonts w:ascii="Times New Roman" w:hAnsi="Times New Roman" w:cs="Times New Roman" w:eastAsia="Times New Roman"/>
                <w:b w:val="false"/>
                <w:sz w:val="26"/>
              </w:rPr>
              <w:t>Nghị định 151/2006/NĐ-CP</w:t>
            </w:r>
          </w:p>
        </w:tc>
        <w:tc>
          <w:p/>
          <w:p>
            <w:pPr>
              <w:spacing w:after="0" w:before="0" w:lineRule="auto" w:line="276"/>
              <w:jc w:val="left"/>
            </w:pPr>
            <w:r>
              <w:rPr>
                <w:rFonts w:ascii="Times New Roman" w:hAnsi="Times New Roman" w:cs="Times New Roman" w:eastAsia="Times New Roman"/>
                <w:b w:val="false"/>
                <w:sz w:val="26"/>
              </w:rPr>
              <w:t>20-12-2006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163/2006/NĐ-CP</w:t>
            </w:r>
          </w:p>
        </w:tc>
        <w:tc>
          <w:p/>
          <w:p>
            <w:pPr>
              <w:spacing w:after="0" w:before="0" w:lineRule="auto" w:line="276"/>
              <w:jc w:val="left"/>
            </w:pPr>
            <w:r>
              <w:rPr>
                <w:rFonts w:ascii="Times New Roman" w:hAnsi="Times New Roman" w:cs="Times New Roman" w:eastAsia="Times New Roman"/>
                <w:b w:val="false"/>
                <w:sz w:val="26"/>
              </w:rPr>
              <w:t>Nghị định 163/2006/NĐ-CP</w:t>
            </w:r>
          </w:p>
        </w:tc>
        <w:tc>
          <w:p/>
          <w:p>
            <w:pPr>
              <w:spacing w:after="0" w:before="0" w:lineRule="auto" w:line="276"/>
              <w:jc w:val="left"/>
            </w:pPr>
            <w:r>
              <w:rPr>
                <w:rFonts w:ascii="Times New Roman" w:hAnsi="Times New Roman" w:cs="Times New Roman" w:eastAsia="Times New Roman"/>
                <w:b w:val="false"/>
                <w:sz w:val="26"/>
              </w:rPr>
              <w:t>29-01-2006</w:t>
            </w:r>
          </w:p>
        </w:tc>
        <w:tc>
          <w:p/>
          <w:p>
            <w:pPr>
              <w:spacing w:after="0" w:before="0" w:lineRule="auto" w:line="276"/>
              <w:jc w:val="left"/>
            </w:pPr>
            <w:r>
              <w:rPr>
                <w:rFonts w:ascii="Times New Roman" w:hAnsi="Times New Roman" w:cs="Times New Roman" w:eastAsia="Times New Roman"/>
                <w:b w:val="false"/>
                <w:sz w:val="26"/>
              </w:rPr>
              <w:t>Văn phòng Thanh tra Chính Phủ</w:t>
            </w:r>
          </w:p>
        </w:tc>
      </w:tr>
      <w:tr>
        <w:tc>
          <w:p/>
          <w:p>
            <w:pPr>
              <w:spacing w:after="0" w:before="0" w:lineRule="auto" w:line="276"/>
              <w:jc w:val="left"/>
            </w:pPr>
            <w:r>
              <w:rPr>
                <w:rFonts w:ascii="Times New Roman" w:hAnsi="Times New Roman" w:cs="Times New Roman" w:eastAsia="Times New Roman"/>
                <w:b w:val="false"/>
                <w:sz w:val="26"/>
              </w:rPr>
              <w:t>1</w:t>
            </w:r>
          </w:p>
        </w:tc>
        <w:tc>
          <w:p/>
          <w:p>
            <w:pPr>
              <w:spacing w:after="0" w:before="0" w:lineRule="auto" w:line="276"/>
              <w:jc w:val="left"/>
            </w:pPr>
            <w:r>
              <w:rPr>
                <w:rFonts w:ascii="Times New Roman" w:hAnsi="Times New Roman" w:cs="Times New Roman" w:eastAsia="Times New Roman"/>
                <w:b w:val="false"/>
                <w:sz w:val="26"/>
              </w:rPr>
              <w:t>Luật Công chứng</w:t>
            </w:r>
          </w:p>
        </w:tc>
        <w:tc>
          <w:p/>
          <w:p>
            <w:pPr>
              <w:spacing w:after="0" w:before="0" w:lineRule="auto" w:line="276"/>
              <w:jc w:val="left"/>
            </w:pPr>
            <w:r>
              <w:rPr>
                <w:rFonts w:ascii="Times New Roman" w:hAnsi="Times New Roman" w:cs="Times New Roman" w:eastAsia="Times New Roman"/>
                <w:b w:val="false"/>
                <w:sz w:val="26"/>
              </w:rPr>
              <w:t>29-11-2006</w:t>
            </w:r>
          </w:p>
        </w:tc>
        <w:tc>
          <w:p/>
        </w:tc>
      </w:tr>
      <w:tr>
        <w:tc>
          <w:p/>
          <w:p>
            <w:pPr>
              <w:spacing w:after="0" w:before="0" w:lineRule="auto" w:line="276"/>
              <w:jc w:val="left"/>
            </w:pPr>
            <w:r>
              <w:rPr>
                <w:rFonts w:ascii="Times New Roman" w:hAnsi="Times New Roman" w:cs="Times New Roman" w:eastAsia="Times New Roman"/>
                <w:b w:val="false"/>
                <w:sz w:val="26"/>
              </w:rPr>
              <w:t>181/2004/NĐ-CP</w:t>
            </w:r>
          </w:p>
        </w:tc>
        <w:tc>
          <w:p/>
          <w:p>
            <w:pPr>
              <w:spacing w:after="0" w:before="0" w:lineRule="auto" w:line="276"/>
              <w:jc w:val="left"/>
            </w:pPr>
            <w:r>
              <w:rPr>
                <w:rFonts w:ascii="Times New Roman" w:hAnsi="Times New Roman" w:cs="Times New Roman" w:eastAsia="Times New Roman"/>
                <w:b w:val="false"/>
                <w:sz w:val="26"/>
              </w:rPr>
              <w:t>Nghị định 181/2004/NĐ-CP</w:t>
            </w:r>
          </w:p>
        </w:tc>
        <w:tc>
          <w:p/>
          <w:p>
            <w:pPr>
              <w:spacing w:after="0" w:before="0" w:lineRule="auto" w:line="276"/>
              <w:jc w:val="left"/>
            </w:pPr>
            <w:r>
              <w:rPr>
                <w:rFonts w:ascii="Times New Roman" w:hAnsi="Times New Roman" w:cs="Times New Roman" w:eastAsia="Times New Roman"/>
                <w:b w:val="false"/>
                <w:sz w:val="26"/>
              </w:rPr>
              <w:t>29-10-2004</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32</w:t>
            </w:r>
          </w:p>
        </w:tc>
        <w:tc>
          <w:p/>
          <w:p>
            <w:pPr>
              <w:spacing w:after="0" w:before="0" w:lineRule="auto" w:line="276"/>
              <w:jc w:val="left"/>
            </w:pPr>
            <w:r>
              <w:rPr>
                <w:rFonts w:ascii="Times New Roman" w:hAnsi="Times New Roman" w:cs="Times New Roman" w:eastAsia="Times New Roman"/>
                <w:b w:val="false"/>
                <w:sz w:val="26"/>
              </w:rPr>
              <w:t>Nghị định về tín dụng đầu tư của Nhà nước</w:t>
            </w:r>
          </w:p>
        </w:tc>
        <w:tc>
          <w:p/>
          <w:p>
            <w:pPr>
              <w:spacing w:after="0" w:before="0" w:lineRule="auto" w:line="276"/>
              <w:jc w:val="left"/>
            </w:pPr>
            <w:r>
              <w:rPr>
                <w:rFonts w:ascii="Times New Roman" w:hAnsi="Times New Roman" w:cs="Times New Roman" w:eastAsia="Times New Roman"/>
                <w:b w:val="false"/>
                <w:sz w:val="26"/>
              </w:rPr>
              <w:t>31-03-2017</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1:  Khách hàng có đầy đủ các điều kiện vay vốn theo quy định tại Nghị định số 75/2011/NĐ-CP ngày 30/8/2011 của Chính phủ về tín dụng đầu tư và tín dụng xuất khẩu của Nhà nước và Thông tư số 35/2012/TT-BTC ngày 02/03/2012 của Bộ Tài chính hướng dẫn một số điều của Nghị định số 75/2011/NĐ-CP ngày 30/8/2011 của Chính phủ về tín dụng đầu tư và tín dụng xuất khẩu của Nhà nước.
Đối với người thứ 3 cầm cố thế chấp tài sản:
- Đối với người thứ 3 là cá nhân Việt Nam thì phải có năng lực pháp luật dân sự, năng lực hành vi dân sự đầy đủ theo quy định của Pháp luật Việt Nam. Đối với người thứ 3 là pháp nhân Việt Nam thì phải có năng lực pháp luật dân sự theo quy định của pháp luật Việt Nam
- Đối với người thứ 3 là cá nhân, pháp nhân nước ngoài thì phải có năng lực pháp luật dân sự, năng lực hành vi dân sự đầy đủ được xác định theo pháp luật của nước mà cá nhân đó là công dân, nơi pháp nhân đó thành lập; trường hợp nước Cộng hòa xã hội chủ nghĩa Việt Nam có quy định khác. Trong trường hợp cá nhân, pháp nhân nước ngoài xác lập, thực hiện các giao dịch dân sự tại Việt Nam thì năng lực pháp luật dân sự, năng lực hành vi dân sự của cá nhân, pháp nhân được xác định theo pháp luật nước Cộng hòa xã hội chủ nghĩa Việt Nam.
Điều kiện 2: Tài sản hiện có thuộc quyền sở hữu, quyền quản lý, quyền sử dụng hợp pháp của bên bảo đảm. Đối với tài sản hình thành trong tương lai thì tài sản đó phải thuộc quyền sở hữu hợp pháp của bên bảo đảm sau khi tài sản được hình thành
- Tài sản bảo đảm được phép giao dịch
- Tại thời điểm ký kết Hợp đồng bảo đảm tiền vay, tài sản bảo đảm không là đối tượng tranh chấp dưới bất kỳ hình thức nào
- Tài sản bảo đảm phải xác định được số lượng, chủng loại, giá trị tại thời điểm ký kết hợp đồng bảo đảm và phải có khả năng thanh khoản.
Tài sản bảo đảm phải được mua bảo hiểm theo quy định của pháp luật và quy định của Ngân hàng Phát triển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2025-11-27T16:47:02Z</dcterms:created>
  <dc:creator>Apache POI</dc:creator>
</cp:coreProperties>
</file>