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1.002270</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2303/QĐ-BTP</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Xác nhận kết quả thi hành án (cấp tỉnh)</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Tỉnh</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Thi hành án dân sự</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 Đương sự hoặc thân nhân của đương sự yêu cầu cơ quan thi hành án dân sự xác nhận kết quả thi hành án.
- Trong thời hạn 05 ngày làm việc, kể từ ngày nhận được yêu cầu của đương sự, Thủ trưởng cơ quan thi hành án dân sự cấp giấy xác nhận kết quả thi hành án.
Nội dung của văn bản xác nhận phải thể hiện rõ khoản nghĩa vụ theo bản án, quyết định, nghĩa vụ phải thi hành theo quyết định thi hành án và kết quả thi hành án cho đến thời điểm xác nhận.
Kết quả thi hành án được xác nhận thể hiện việc đương sự đã thực hiện xong toàn bộ hoặc một phần quyền, nghĩa vụ của mình theo quyết định thi hành án hoặc thi hành xong nghĩa vụ thi hành án của từng định kỳ trong trường hợp việc thi hành án được tiến hành theo định kỳ.</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05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Kể từ ngày nhận được yêu cầu của đương sự hoặc thân nhân của họ</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05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Kể từ ngày nhận được yêu cầu của đương sự hoặc thân nhân của họ</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Theo mẫu đơn nêu trên, hồ sơ kèm theo đơn đề nghị còn có:</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Bản án, Quyết định;</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Quyết định thi hành án;</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Tài liệu có liên quan khác.</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Đơn đề nghị xác nhận kết quả thi hành án (Mẫu D07-THADS).</w:t>
            </w:r>
          </w:p>
        </w:tc>
        <w:tc>
          <w:p/>
          <w:p>
            <w:pPr>
              <w:spacing w:after="0" w:before="0" w:lineRule="auto" w:line="276"/>
              <w:jc w:val="left"/>
            </w:pPr>
            <w:r>
              <w:rPr>
                <w:rFonts w:ascii="Times New Roman" w:hAnsi="Times New Roman" w:cs="Times New Roman" w:eastAsia="Times New Roman"/>
                <w:b w:val="false"/>
                <w:sz w:val="26"/>
              </w:rPr>
              <w:t>Mẫu số d07-Xác nhận kết quả thi hành án.docx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Trường hợp ủy quyền phải kèm theo giấy ủy quyền hợp pháp và xuất trình tài khoản định danh điện tử theo quy định của pháp luật hoặc một trong các giấy tờ sau đây: Thẻ căn cước công dân, Chứng minh nhân dân, Hộ chiếu, Giấy xác nhận thông tin về cư trú, Giấy thông báo số định danh cá nhân và thông tin công dân trong Cơ sở dữ liệu quốc gia về dân cư.</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Công dân Việt Nam, Tổ chức (không bao gồm doanh nghiệp, HTX)</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Cục Thi hành án dân sự, Phòng thi hành án cấp quân khu</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Giấy xác nhận kết quả thi hành án</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62/2015/NĐ-CP</w:t>
            </w:r>
          </w:p>
        </w:tc>
        <w:tc>
          <w:p/>
          <w:p>
            <w:pPr>
              <w:spacing w:after="0" w:before="0" w:lineRule="auto" w:line="276"/>
              <w:jc w:val="left"/>
            </w:pPr>
            <w:r>
              <w:rPr>
                <w:rFonts w:ascii="Times New Roman" w:hAnsi="Times New Roman" w:cs="Times New Roman" w:eastAsia="Times New Roman"/>
                <w:b w:val="false"/>
                <w:sz w:val="26"/>
              </w:rPr>
              <w:t>Nghị định 62/2015/NĐ-CP</w:t>
            </w:r>
          </w:p>
        </w:tc>
        <w:tc>
          <w:p/>
          <w:p>
            <w:pPr>
              <w:spacing w:after="0" w:before="0" w:lineRule="auto" w:line="276"/>
              <w:jc w:val="left"/>
            </w:pPr>
            <w:r>
              <w:rPr>
                <w:rFonts w:ascii="Times New Roman" w:hAnsi="Times New Roman" w:cs="Times New Roman" w:eastAsia="Times New Roman"/>
                <w:b w:val="false"/>
                <w:sz w:val="26"/>
              </w:rPr>
              <w:t>18-07-2015</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26/2008/QH12</w:t>
            </w:r>
          </w:p>
        </w:tc>
        <w:tc>
          <w:p/>
          <w:p>
            <w:pPr>
              <w:spacing w:after="0" w:before="0" w:lineRule="auto" w:line="276"/>
              <w:jc w:val="left"/>
            </w:pPr>
            <w:r>
              <w:rPr>
                <w:rFonts w:ascii="Times New Roman" w:hAnsi="Times New Roman" w:cs="Times New Roman" w:eastAsia="Times New Roman"/>
                <w:b w:val="false"/>
                <w:sz w:val="26"/>
              </w:rPr>
              <w:t>Luật 26/2008/QH12</w:t>
            </w:r>
          </w:p>
        </w:tc>
        <w:tc>
          <w:p/>
          <w:p>
            <w:pPr>
              <w:spacing w:after="0" w:before="0" w:lineRule="auto" w:line="276"/>
              <w:jc w:val="left"/>
            </w:pPr>
            <w:r>
              <w:rPr>
                <w:rFonts w:ascii="Times New Roman" w:hAnsi="Times New Roman" w:cs="Times New Roman" w:eastAsia="Times New Roman"/>
                <w:b w:val="false"/>
                <w:sz w:val="26"/>
              </w:rPr>
              <w:t>14-11-2008</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104/2022/NĐ-CP</w:t>
            </w:r>
          </w:p>
        </w:tc>
        <w:tc>
          <w:p/>
          <w:p>
            <w:pPr>
              <w:spacing w:after="0" w:before="0" w:lineRule="auto" w:line="276"/>
              <w:jc w:val="left"/>
            </w:pPr>
            <w:r>
              <w:rPr>
                <w:rFonts w:ascii="Times New Roman" w:hAnsi="Times New Roman" w:cs="Times New Roman" w:eastAsia="Times New Roman"/>
                <w:b w:val="false"/>
                <w:sz w:val="26"/>
              </w:rPr>
              <w:t>Nghị định sửa đổi, bổ sung một số điều của các nghị định liên quan đến việc nộp, xuất trình sổ hộ khẩu, sổ tạm trú giấy khi thực hiện thủ tục hành chính, cung cấp dịch vụ công</w:t>
            </w:r>
          </w:p>
        </w:tc>
        <w:tc>
          <w:p/>
          <w:p>
            <w:pPr>
              <w:spacing w:after="0" w:before="0" w:lineRule="auto" w:line="276"/>
              <w:jc w:val="left"/>
            </w:pPr>
            <w:r>
              <w:rPr>
                <w:rFonts w:ascii="Times New Roman" w:hAnsi="Times New Roman" w:cs="Times New Roman" w:eastAsia="Times New Roman"/>
                <w:b w:val="false"/>
                <w:sz w:val="26"/>
              </w:rPr>
              <w:t>21-12-2022</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04/2023/TT-BTP</w:t>
            </w:r>
          </w:p>
        </w:tc>
        <w:tc>
          <w:p/>
          <w:p>
            <w:pPr>
              <w:spacing w:after="0" w:before="0" w:lineRule="auto" w:line="276"/>
              <w:jc w:val="left"/>
            </w:pPr>
            <w:r>
              <w:rPr>
                <w:rFonts w:ascii="Times New Roman" w:hAnsi="Times New Roman" w:cs="Times New Roman" w:eastAsia="Times New Roman"/>
                <w:b w:val="false"/>
                <w:sz w:val="26"/>
              </w:rPr>
              <w:t>Thông tư 04/2023/TT-BTP hướng dẫn thực hiện một số thủ tục về quản lý hành chính và biểu mẫu nghiệp vụ trong thi hành án dân sự</w:t>
            </w:r>
          </w:p>
        </w:tc>
        <w:tc>
          <w:p/>
          <w:p>
            <w:pPr>
              <w:spacing w:after="0" w:before="0" w:lineRule="auto" w:line="276"/>
              <w:jc w:val="left"/>
            </w:pPr>
            <w:r>
              <w:rPr>
                <w:rFonts w:ascii="Times New Roman" w:hAnsi="Times New Roman" w:cs="Times New Roman" w:eastAsia="Times New Roman"/>
                <w:b w:val="false"/>
                <w:sz w:val="26"/>
              </w:rPr>
              <w:t>30-10-2023</w:t>
            </w:r>
          </w:p>
        </w:tc>
        <w:tc>
          <w:p/>
          <w:p>
            <w:pPr>
              <w:spacing w:after="0" w:before="0" w:lineRule="auto" w:line="276"/>
              <w:jc w:val="left"/>
            </w:pPr>
            <w:r>
              <w:rPr>
                <w:rFonts w:ascii="Times New Roman" w:hAnsi="Times New Roman" w:cs="Times New Roman" w:eastAsia="Times New Roman"/>
                <w:b w:val="false"/>
                <w:sz w:val="26"/>
              </w:rPr>
              <w:t>Bộ trưởng Bộ Tư pháp</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không</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https://thutuc.dichvucong.gov.vn/p/home/dvc-tthc-thu-tuc-hanh-chinh-chi-tiet.html?ma_thu_tuc=3263</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2025-11-27T16:47:17Z</dcterms:created>
  <dc:creator>Apache POI</dc:creator>
</cp:coreProperties>
</file>