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lưu hành tại Việt Nam cho phương tiện của Lào,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nộp hồ sơ cho Sở Xây dựng các tỉnh, thành phố trực thuộc trung ương nơi phương tiện gặp sự cố bất khả kháng.</w:t>
      </w:r>
    </w:p>
    <w:p>
      <w:pPr>
        <w:spacing w:after="0" w:before="0" w:lineRule="auto" w:line="276"/>
        <w:jc w:val="both"/>
      </w:pPr>
      <w:r>
        <w:rPr>
          <w:rFonts w:ascii="Times New Roman" w:hAnsi="Times New Roman" w:cs="Times New Roman" w:eastAsia="Times New Roman"/>
          <w:b w:val="false"/>
          <w:sz w:val="26"/>
        </w:rPr>
        <w:t>b) Giải quyết TTHC:
- Trong thời hạn 02 ngày làm việc kể từ khi nhận đủ hồ sơ hợp lệ theo quy định, cơ quan có thẩm quyền thực hiện gia hạn thời gian lưu hành cho phương tiện của Lào, Campuchia. Cơ quan có thẩm quyền thực hiện việc gia hạn bằng văn bản hoặc gia hạn trong giấy phép liên vận. Trường hợp không gia hạn, cơ quan có thẩm quyền trả lời bằng văn bản nêu rõ lý do.</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Trong thời hạn 02 ngày làm việc kể từ khi nhận đủ hồ sơ hợp lệ theo quy định, Sở Xây dựng thực hiện gia hạn thời gian lưu hành cho phương tiện của Lào, Campuchia. Sở Xây dựng thực hiện việc gia hạn bằng văn bản hoặc gia hạn trong giấy phép liên vận. Trường hợp không gia hạn, Sở Xây dựng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phép liên vận giữa Việt Nam, Lào và Campuchia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gia hạn thời gian lưu hành của phương tiện tại Việt Nam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thời gian lưu hành của phương tiện tại Việt Nam cho phương tiện của Lào,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Phương tiện của Lào, Campuchia quá thời gian lưu hành tại Việt Nam quy định tại giấy phép liên vận trong trường hợp bất khả kháng được gia hạn 01 lần với thời gian không quá 10 ngày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2025-11-27T23:59:18Z</dcterms:created>
  <dc:creator>Apache POI</dc:creator>
</cp:coreProperties>
</file>