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1.002326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461/QĐ-BXD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khả năng chuyên môn hoa tiêu hàng hải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Hàng hải và đường thủy nội địa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a) Nộp hồ sơ TTHC:</w:t>
      </w:r>
    </w:p>
    <w:p>
      <w:pPr>
        <w:spacing w:after="0" w:before="0" w:lineRule="auto" w:line="276"/>
        <w:jc w:val="both"/>
      </w:pPr>
      <w:r>
        <w:rPr>
          <w:rFonts w:ascii="Times New Roman" w:hAnsi="Times New Roman" w:cs="Times New Roman" w:eastAsia="Times New Roman"/>
          <w:b w:val="false"/>
          <w:sz w:val="26"/>
        </w:rPr>
        <w:t>Tổ chức, cá nhân nộp 01 (một) bộ hồ sơ trực tiếp tại Cục Hàng hải và Đường thủy Việt Nam hoặc gửi qua hệ thống bưu chính hoặc qua hệ thống dịch vụ công trực tuyến.</w:t>
      </w:r>
    </w:p>
    <w:p>
      <w:pPr>
        <w:shd w:val="clear" w:color="auto" w:fill="F2F6F9"/>
        <w:spacing w:after="0" w:before="120" w:lineRule="auto" w:line="276"/>
        <w:jc w:val="both"/>
      </w:pPr>
      <w:r>
        <w:rPr>
          <w:rFonts w:ascii="Times New Roman" w:hAnsi="Times New Roman" w:cs="Times New Roman" w:eastAsia="Times New Roman"/>
          <w:b w:val="true"/>
          <w:sz w:val="26"/>
        </w:rPr>
        <w:t>b) Giải quyết TTHC:</w:t>
      </w:r>
    </w:p>
    <w:p>
      <w:pPr>
        <w:spacing w:after="0" w:before="0" w:lineRule="auto" w:line="276"/>
        <w:jc w:val="both"/>
      </w:pPr>
      <w:r>
        <w:rPr>
          <w:rFonts w:ascii="Times New Roman" w:hAnsi="Times New Roman" w:cs="Times New Roman" w:eastAsia="Times New Roman"/>
          <w:b w:val="false"/>
          <w:sz w:val="26"/>
        </w:rPr>
        <w:t>- Cục Hàng hải và Đường thủy Việt Nam nhận hồ sơ, kiểm tra thành phần, số lượng hồ sơ theo quy định, vào sổ và hẹn trả kết quả đúng quy định:</w:t>
      </w:r>
    </w:p>
    <w:p>
      <w:pPr>
        <w:spacing w:after="0" w:before="0" w:lineRule="auto" w:line="276"/>
        <w:jc w:val="both"/>
      </w:pPr>
      <w:r>
        <w:rPr>
          <w:rFonts w:ascii="Times New Roman" w:hAnsi="Times New Roman" w:cs="Times New Roman" w:eastAsia="Times New Roman"/>
          <w:b w:val="false"/>
          <w:sz w:val="26"/>
        </w:rPr>
        <w:t>+ Trường hợp nộp trực tiếp, nếu hồ sơ không đầy đủ theo quy định thì trả lại hồ sơ và hướng dẫn cho tổ chức, cá nhân hoàn thiện lại hồ sơ theo quy định; 
+ Trong trường hợp nhận hồ sơ qua hệ thống bưu chính hoặc qua hệ thống dịch vụ công trực tuyến, nếu hồ sơ không đầy đủ theo quy định thì Cục Hàng hải và Đường thủy Việt Nam thông báo bằng văn bản chậm nhất 02 (hai) ngày làm việc, kể từ ngày nhận được hồ sơ;
+ Trường hợp cấp lại do GCNKNCMHTHH hết hoặc sắp hết hạn: chậm nhất 02 (hai) ngày làm việc, kể từ ngày nhận hồ sơ đầy đủ theo quy định, Cục Hàng hải và Đường thủy Việt Nam có văn bản gửi Cảng vụ hàng hải/Cảng vụ đường thủy nội địa yêu cầu xác nhận về lượt dẫn tàu. Chậm nhất 02 (hai) ngày làm việc, kể từ ngày nhận được văn bản của Cục Hàng hải và Đường thủy Việt Nam, Cảng vụ hàng hải/Cảng vụ đường thủy nội địa có văn bản xác nhận gửi Cục Hàng hải và Đường thủy Việt Nam.</w:t>
      </w:r>
    </w:p>
    <w:p>
      <w:pPr>
        <w:spacing w:after="0" w:before="0" w:lineRule="auto" w:line="276"/>
        <w:jc w:val="both"/>
      </w:pPr>
      <w:r>
        <w:rPr>
          <w:rFonts w:ascii="Times New Roman" w:hAnsi="Times New Roman" w:cs="Times New Roman" w:eastAsia="Times New Roman"/>
          <w:b w:val="false"/>
          <w:sz w:val="26"/>
        </w:rPr>
        <w:t>- Chậm nhất 05 (năm) ngày làm việc, kể từ ngày nhận được hồ sơ đầy đủ theo quy định hoặc chậm nhất 01 (một) ngày làm việc kể từ ngày nhận được văn bản xác nhận của Cảng vụ hàng hải/Cảng vụ đường thủy nội địa (đối với trường hợp phải lấy xác nhận của Cảng vụ hàng hải khu vực), Cục Hàng hải và Đường thủy Việt Nam cấp lại GCNKNCMHTHH theo mẫu quy định. Trường hợp không đủ điều kiện cấp lại GCNKNCMHTHH theo quy định, Cục Hàng hải và Đường thủy Việt Nam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(150.000 đồng/Giấy)</w:t>
            </w:r>
          </w:p>
        </w:tc>
        <w:tc>
          <w:p/>
          <w:p>
            <w:pPr>
              <w:spacing w:after="0" w:before="0" w:lineRule="auto" w:line="276"/>
              <w:jc w:val="left"/>
            </w:pPr>
            <w:r>
              <w:rPr>
                <w:rFonts w:ascii="Times New Roman" w:hAnsi="Times New Roman" w:cs="Times New Roman" w:eastAsia="Times New Roman"/>
                <w:b w:val="false"/>
                <w:sz w:val="26"/>
              </w:rPr>
              <w:t>Chậm nhất 05 (năm) ngày làm việc, 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(150.000 đồng/Giấy)</w:t>
            </w:r>
          </w:p>
        </w:tc>
        <w:tc>
          <w:p/>
          <w:p>
            <w:pPr>
              <w:spacing w:after="0" w:before="0" w:lineRule="auto" w:line="276"/>
              <w:jc w:val="left"/>
            </w:pPr>
            <w:r>
              <w:rPr>
                <w:rFonts w:ascii="Times New Roman" w:hAnsi="Times New Roman" w:cs="Times New Roman" w:eastAsia="Times New Roman"/>
                <w:b w:val="false"/>
                <w:sz w:val="26"/>
              </w:rPr>
              <w:t>Chậm nhất 05 (năm) ngày làm việc, 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(150.000 đồng/Giấy)</w:t>
            </w:r>
          </w:p>
        </w:tc>
        <w:tc>
          <w:p/>
          <w:p>
            <w:pPr>
              <w:spacing w:after="0" w:before="0" w:lineRule="auto" w:line="276"/>
              <w:jc w:val="left"/>
            </w:pPr>
            <w:r>
              <w:rPr>
                <w:rFonts w:ascii="Times New Roman" w:hAnsi="Times New Roman" w:cs="Times New Roman" w:eastAsia="Times New Roman"/>
                <w:b w:val="false"/>
                <w:sz w:val="26"/>
              </w:rPr>
              <w:t>Chậm nhất 05 (năm) ngày làm việc, kể từ ngày nhận đủ hồ sơ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Thành phần hồ sơ:</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lại GCNKNCMHTHH, trong đó nêu rõ lý do và có xác nhận của người đứng đầu tổ chức hoa tiêu hàng hải hoặc đơn vị quản lý thuyền trưởng theo mẫu;</w:t>
            </w:r>
          </w:p>
        </w:tc>
        <w:tc>
          <w:p/>
          <w:p>
            <w:pPr>
              <w:spacing w:after="0" w:before="0" w:lineRule="auto" w:line="276"/>
              <w:jc w:val="left"/>
            </w:pPr>
            <w:r>
              <w:rPr>
                <w:rFonts w:ascii="Times New Roman" w:hAnsi="Times New Roman" w:cs="Times New Roman" w:eastAsia="Times New Roman"/>
                <w:b w:val="false"/>
                <w:sz w:val="26"/>
              </w:rPr>
              <w:t>Mẫu Đơn đề nghị cấp lại Giấy chứng nhận khả năng chuyên môn hoa tiêu hàng hải.docx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gốc hoặc bản sao có chứng thực hoặc bản sao điện tử được chứng thực từ bản chính giấy tờ có giá trị pháp lý chứng minh sự điều chỉnh đối với trường hợp thay đổi thông tin;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- 02 ảnh màu đối với trường hợp nộp hồ sơ trực tiếp hoặc qua đường bưu điện, 01 tệp (file) ảnh đối với trường hợp nộp hồ sơ qua hệ thống dịch vụ công trực tuyến cỡ 3cm x 4cm, nền trắng, chụp trong vòng 06 tháng gần nhất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gốc hoặc bản sao có chứng thực hoặc bản sao điện tử được chứng thực từ bản chính Giấy chứng nhận sức khỏe theo quy định; hoặc Giấy chứng nhận sức khỏe thuyền viên theo quy định của Bộ Y tế (đối với trường hợp hoa tiêu trên 62 tuổi).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Hàng hải và Đường thủy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Hàng hải và Đường thủy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khả năng chuyên môn hoa tiêu hàng hải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189/2016/TT-BTC</w:t>
            </w:r>
          </w:p>
        </w:tc>
        <w:tc>
          <w:p/>
          <w:p>
            <w:pPr>
              <w:spacing w:after="0" w:before="0" w:lineRule="auto" w:line="276"/>
              <w:jc w:val="left"/>
            </w:pPr>
            <w:r>
              <w:rPr>
                <w:rFonts w:ascii="Times New Roman" w:hAnsi="Times New Roman" w:cs="Times New Roman" w:eastAsia="Times New Roman"/>
                <w:b w:val="false"/>
                <w:sz w:val="26"/>
              </w:rPr>
              <w:t>Quy định mức thu, chế độ thu, nộp, quản lý và sử dụng phí, lệ phí trong hoạt động chuyên ngành hàng hải</w:t>
            </w:r>
          </w:p>
        </w:tc>
        <w:tc>
          <w:p/>
          <w:p>
            <w:pPr>
              <w:spacing w:after="0" w:before="0" w:lineRule="auto" w:line="276"/>
              <w:jc w:val="left"/>
            </w:pPr>
            <w:r>
              <w:rPr>
                <w:rFonts w:ascii="Times New Roman" w:hAnsi="Times New Roman" w:cs="Times New Roman" w:eastAsia="Times New Roman"/>
                <w:b w:val="false"/>
                <w:sz w:val="26"/>
              </w:rPr>
              <w:t>08-11-2016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27/2016/TT-BGTVT</w:t>
            </w:r>
          </w:p>
        </w:tc>
        <w:tc>
          <w:p/>
          <w:p>
            <w:pPr>
              <w:spacing w:after="0" w:before="0" w:lineRule="auto" w:line="276"/>
              <w:jc w:val="left"/>
            </w:pPr>
            <w:r>
              <w:rPr>
                <w:rFonts w:ascii="Times New Roman" w:hAnsi="Times New Roman" w:cs="Times New Roman" w:eastAsia="Times New Roman"/>
                <w:b w:val="false"/>
                <w:sz w:val="26"/>
              </w:rPr>
              <w:t>Quy định về đào tạo, cấp, thu hồi Giấy chứng nhận khả năng chuyên môn hoa tiêu hàng hải và Giấy chứng nhận vùng hoạt động hoa tiêu hàng hải</w:t>
            </w:r>
          </w:p>
        </w:tc>
        <w:tc>
          <w:p/>
          <w:p>
            <w:pPr>
              <w:spacing w:after="0" w:before="0" w:lineRule="auto" w:line="276"/>
              <w:jc w:val="left"/>
            </w:pPr>
            <w:r>
              <w:rPr>
                <w:rFonts w:ascii="Times New Roman" w:hAnsi="Times New Roman" w:cs="Times New Roman" w:eastAsia="Times New Roman"/>
                <w:b w:val="false"/>
                <w:sz w:val="26"/>
              </w:rPr>
              <w:t>12-10-2016</w:t>
            </w:r>
          </w:p>
        </w:tc>
        <w:tc>
          <w:p/>
          <w:p>
            <w:pPr>
              <w:spacing w:after="0" w:before="0" w:lineRule="auto" w:line="276"/>
              <w:jc w:val="left"/>
            </w:pPr>
            <w:r>
              <w:rPr>
                <w:rFonts w:ascii="Times New Roman" w:hAnsi="Times New Roman" w:cs="Times New Roman" w:eastAsia="Times New Roman"/>
                <w:b w:val="false"/>
                <w:sz w:val="26"/>
              </w:rPr>
              <w:t>Bộ Giao thông vận tải</w:t>
            </w:r>
          </w:p>
        </w:tc>
      </w:tr>
      <w:tr>
        <w:tc>
          <w:p/>
          <w:p>
            <w:pPr>
              <w:spacing w:after="0" w:before="0" w:lineRule="auto" w:line="276"/>
              <w:jc w:val="left"/>
            </w:pPr>
            <w:r>
              <w:rPr>
                <w:rFonts w:ascii="Times New Roman" w:hAnsi="Times New Roman" w:cs="Times New Roman" w:eastAsia="Times New Roman"/>
                <w:b w:val="false"/>
                <w:sz w:val="26"/>
              </w:rPr>
              <w:t>54/2023/TT-BGTVT</w:t>
            </w:r>
          </w:p>
        </w:tc>
        <w:tc>
          <w:p/>
          <w:p>
            <w:pPr>
              <w:spacing w:after="0" w:before="0" w:lineRule="auto" w:line="276"/>
              <w:jc w:val="left"/>
            </w:pPr>
            <w:r>
              <w:rPr>
                <w:rFonts w:ascii="Times New Roman" w:hAnsi="Times New Roman" w:cs="Times New Roman" w:eastAsia="Times New Roman"/>
                <w:b w:val="false"/>
                <w:sz w:val="26"/>
              </w:rPr>
              <w:t>Sửa đổi Thông tư 27/2016/TT-BGTVT quy định về đào tạo, cấp, thu hồi Giấy chứng nhận khả năng chuyên môn hoa tiêu hàng hải và Giấy chứng nhận vùng hoạt động hoa tiêu hàng hải</w:t>
            </w:r>
          </w:p>
        </w:tc>
        <w:tc>
          <w:p/>
          <w:p>
            <w:pPr>
              <w:spacing w:after="0" w:before="0" w:lineRule="auto" w:line="276"/>
              <w:jc w:val="left"/>
            </w:pPr>
            <w:r>
              <w:rPr>
                <w:rFonts w:ascii="Times New Roman" w:hAnsi="Times New Roman" w:cs="Times New Roman" w:eastAsia="Times New Roman"/>
                <w:b w:val="false"/>
                <w:sz w:val="26"/>
              </w:rPr>
              <w:t>31-12-2023</w:t>
            </w:r>
          </w:p>
        </w:tc>
        <w:tc>
          <w:p/>
          <w:p>
            <w:pPr>
              <w:spacing w:after="0" w:before="0" w:lineRule="auto" w:line="276"/>
              <w:jc w:val="left"/>
            </w:pPr>
            <w:r>
              <w:rPr>
                <w:rFonts w:ascii="Times New Roman" w:hAnsi="Times New Roman" w:cs="Times New Roman" w:eastAsia="Times New Roman"/>
                <w:b w:val="false"/>
                <w:sz w:val="26"/>
              </w:rPr>
              <w:t>Bộ Giao thông vận tải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https://thutuc.dichvucong.gov.vn/p/home/dvc-tthc-thu-tuc-hanh-chinh-chi-tiet.html?ma_thu_tuc=3345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2025-11-27T23:59:46Z</dcterms:created>
  <dc:creator>Apache POI</dc:creator>
</cp:coreProperties>
</file>