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1.002346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bãi bỏ hiệu lực của quyết định đình chỉ hiệu lực của quyết định chứng nhận, cấp thẻ kiểm định viên đo lường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đề nghị bãi bỏ hiệu lực của quyết định đình chỉ hiệu lực của quyết định chứng nhận, cấp thẻ kiểm định viên đo lường lập 01 bộ hồ sơ theo quy định đến Tổng cục Tiêu chuẩn Đo lường chất lượng (gọi tắt Tổng cục).</w:t>
      </w:r>
    </w:p>
    <w:p>
      <w:pPr>
        <w:spacing w:after="0" w:before="0" w:lineRule="auto" w:line="276"/>
        <w:jc w:val="both"/>
      </w:pPr>
      <w:r>
        <w:rPr>
          <w:rFonts w:ascii="Times New Roman" w:hAnsi="Times New Roman" w:cs="Times New Roman" w:eastAsia="Times New Roman"/>
          <w:b w:val="false"/>
          <w:sz w:val="26"/>
        </w:rPr>
        <w:t>Bước 2: Tổng cục kiểm tra về nội dung đã khắc phục hậu quả của cơ sở.
- Nếu kết quả kiểm tra không đạt yêu cầu: Trong thời hạn bảy (7) ngày làm việc kể từ ngày nhận được hồ sơ, Tổng cục thông báo bằng văn bản cho tổ chức đề nghị thực hiện lại việc khắc phục hậu quả. 
- Nếu kết quả kiểm tra đạt yêu cầu: Trong thời hạn bảy (7) ngày làm việc kể từ ngày nhận đủ hồ sơ hợp lệ, Tổng cục ra quyết định bãi bỏ hiệu lực của quyết định đình chỉ hiệu lực của quyết định chứng nhận, cấp thẻ kiểm định viên đo lường.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đề nghị bãi bỏ hiệu lực cửa quyết định đình chỉ và nêu rõ lý do đề nghị;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Tổng cục Tiêu chuẩn Đo lường Chất lượng - 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Tổng cục Tiêu chuẩn Đo lường Chất lượng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bãi bỏ hiệu lực của quyết định đình chỉ hiệu lực của quyết định chứng nhận, cấp thẻ kiểm định viên đo lường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105/2016/NĐ-CP</w:t>
            </w:r>
          </w:p>
        </w:tc>
        <w:tc>
          <w:p/>
          <w:p>
            <w:pPr>
              <w:spacing w:after="0" w:before="0" w:lineRule="auto" w:line="276"/>
              <w:jc w:val="left"/>
            </w:pPr>
            <w:r>
              <w:rPr>
                <w:rFonts w:ascii="Times New Roman" w:hAnsi="Times New Roman" w:cs="Times New Roman" w:eastAsia="Times New Roman"/>
                <w:b w:val="false"/>
                <w:sz w:val="26"/>
              </w:rPr>
              <w:t>Nghị định 105/2016/NĐ-CP-Quy định về điều kiện hoạt động của tổ chức kiểm định, hiệu chuẩn, thử nghiệm phương tiện đo, chuẩn đo lường</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04/2011/QH13</w:t>
            </w:r>
          </w:p>
        </w:tc>
        <w:tc>
          <w:p/>
          <w:p>
            <w:pPr>
              <w:spacing w:after="0" w:before="0" w:lineRule="auto" w:line="276"/>
              <w:jc w:val="left"/>
            </w:pPr>
            <w:r>
              <w:rPr>
                <w:rFonts w:ascii="Times New Roman" w:hAnsi="Times New Roman" w:cs="Times New Roman" w:eastAsia="Times New Roman"/>
                <w:b w:val="false"/>
                <w:sz w:val="26"/>
              </w:rPr>
              <w:t>Đo lường</w:t>
            </w:r>
          </w:p>
        </w:tc>
        <w:tc>
          <w:p/>
          <w:p>
            <w:pPr>
              <w:spacing w:after="0" w:before="0" w:lineRule="auto" w:line="276"/>
              <w:jc w:val="left"/>
            </w:pPr>
            <w:r>
              <w:rPr>
                <w:rFonts w:ascii="Times New Roman" w:hAnsi="Times New Roman" w:cs="Times New Roman" w:eastAsia="Times New Roman"/>
                <w:b w:val="false"/>
                <w:sz w:val="26"/>
              </w:rPr>
              <w:t>11-11-2011</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86/2012/NĐ-CP</w:t>
            </w:r>
          </w:p>
        </w:tc>
        <w:tc>
          <w:p/>
          <w:p>
            <w:pPr>
              <w:spacing w:after="0" w:before="0" w:lineRule="auto" w:line="276"/>
              <w:jc w:val="left"/>
            </w:pPr>
            <w:r>
              <w:rPr>
                <w:rFonts w:ascii="Times New Roman" w:hAnsi="Times New Roman" w:cs="Times New Roman" w:eastAsia="Times New Roman"/>
                <w:b w:val="false"/>
                <w:sz w:val="26"/>
              </w:rPr>
              <w:t>Quy định chi tiết và hướng dẫn thi hành một số điều của Luật Đo lường</w:t>
            </w:r>
          </w:p>
        </w:tc>
        <w:tc>
          <w:p/>
          <w:p>
            <w:pPr>
              <w:spacing w:after="0" w:before="0" w:lineRule="auto" w:line="276"/>
              <w:jc w:val="left"/>
            </w:pPr>
            <w:r>
              <w:rPr>
                <w:rFonts w:ascii="Times New Roman" w:hAnsi="Times New Roman" w:cs="Times New Roman" w:eastAsia="Times New Roman"/>
                <w:b w:val="false"/>
                <w:sz w:val="26"/>
              </w:rPr>
              <w:t>19-10-2012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24/2013/TT-BKHCN</w:t>
            </w:r>
          </w:p>
        </w:tc>
        <w:tc>
          <w:p/>
          <w:p>
            <w:pPr>
              <w:spacing w:after="0" w:before="0" w:lineRule="auto" w:line="276"/>
              <w:jc w:val="left"/>
            </w:pPr>
            <w:r>
              <w:rPr>
                <w:rFonts w:ascii="Times New Roman" w:hAnsi="Times New Roman" w:cs="Times New Roman" w:eastAsia="Times New Roman"/>
                <w:b w:val="false"/>
                <w:sz w:val="26"/>
              </w:rPr>
              <w:t>Quy định về hoạt động kiểm định, hiệu chuẩn, thử nghiệm phương tiện đo, chuẩn đo lường</w:t>
            </w:r>
          </w:p>
        </w:tc>
        <w:tc>
          <w:p/>
          <w:p>
            <w:pPr>
              <w:spacing w:after="0" w:before="0" w:lineRule="auto" w:line="276"/>
              <w:jc w:val="left"/>
            </w:pPr>
            <w:r>
              <w:rPr>
                <w:rFonts w:ascii="Times New Roman" w:hAnsi="Times New Roman" w:cs="Times New Roman" w:eastAsia="Times New Roman"/>
                <w:b w:val="false"/>
                <w:sz w:val="26"/>
              </w:rPr>
              <w:t>30-09-2013</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r>
        <w:tc>
          <w:p/>
          <w:p>
            <w:pPr>
              <w:spacing w:after="0" w:before="0" w:lineRule="auto" w:line="276"/>
              <w:jc w:val="left"/>
            </w:pPr>
            <w:r>
              <w:rPr>
                <w:rFonts w:ascii="Times New Roman" w:hAnsi="Times New Roman" w:cs="Times New Roman" w:eastAsia="Times New Roman"/>
                <w:b w:val="false"/>
                <w:sz w:val="26"/>
              </w:rPr>
              <w:t>154/2018/NĐ-CP</w:t>
            </w:r>
          </w:p>
        </w:tc>
        <w:tc>
          <w:p/>
          <w:p>
            <w:pPr>
              <w:spacing w:after="0" w:before="0" w:lineRule="auto" w:line="276"/>
              <w:jc w:val="left"/>
            </w:pPr>
            <w:r>
              <w:rPr>
                <w:rFonts w:ascii="Times New Roman" w:hAnsi="Times New Roman" w:cs="Times New Roman" w:eastAsia="Times New Roman"/>
                <w:b w:val="false"/>
                <w:sz w:val="26"/>
              </w:rPr>
              <w:t>Nghị định 154/2018/NĐ-CP</w:t>
            </w:r>
          </w:p>
        </w:tc>
        <w:tc>
          <w:p/>
          <w:p>
            <w:pPr>
              <w:spacing w:after="0" w:before="0" w:lineRule="auto" w:line="276"/>
              <w:jc w:val="left"/>
            </w:pPr>
            <w:r>
              <w:rPr>
                <w:rFonts w:ascii="Times New Roman" w:hAnsi="Times New Roman" w:cs="Times New Roman" w:eastAsia="Times New Roman"/>
                <w:b w:val="false"/>
                <w:sz w:val="26"/>
              </w:rPr>
              <w:t>09-11-2018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bãi bỏ hiệu lực của quyết định đình chỉ hiệu lực của quyết định chứng nhận, cấp thẻ kiểm định viên đo lường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2025-11-27T23:59:58Z</dcterms:created>
  <dc:creator>Apache POI</dc:creator>
</cp:coreProperties>
</file>