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1.003570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an ninh và cấp giấy chứng nhận phù hợp an ninh cảng thủy nội địa tiếp nhận phương tiện thủy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Cá nhân, tổ chức có nhu cầu phê duyệt kế hoạch an ninh và cấp giấy chứng nhận phù hợp an ninh cảng thủy nội địa tiếp nhận phương tiện thủy nước ngoài nộp hồ sơ đến Cảng vụ Hàng hải/Cảng vụ Đường thủy nội địa</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đủ hồ sơ theo quy định, Cảng vụ thẩm định hồ sơ và báo cáo kết quả thẩm định gửi kèm 02 bộ hồ sơ đến Cục Hàng hải và Đường thủy Việt Nam.</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đủ hồ sơ và báo cáo của Cảng vụ, Cục Hàng hải và Đường thủy Việt Nam phê duyệt kế hoạch an ninh và cấp giấy chứng nhận phù hợp an ninh cảng thủy nội địa tiếp nhận phương tiện thủy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14000000 Đồng</w:t>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theo quy định, Cảng vụ thẩm định hồ sơ và báo cáo kết quả thẩm định gửi kèm 02 bộ hồ sơ đến Cục Hàng hải và Đường thủy Việt Nam. 
- Trong thời hạn 05 ngày làm việc, kể từ ngày nhận đủ hồ sơ và báo cáo của Cảng vụ, Cục Hàng hải và Đường thủy Việt Nam phê duyệt kế hoạch an ninh và cấp giấy chứng nhận phù hợp an ninh cảng thủy nội địa tiếp nhận phương tiện thủy nước ngoài.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14000000 Đồng</w:t>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theo quy định, Cảng vụ thẩm định hồ sơ và báo cáo kết quả thẩm định gửi kèm 02 bộ hồ sơ đến Cục Hàng hải và Đường thủy Việt Nam. 
- Trong thời hạn 05 ngày làm việc, kể từ ngày nhận đủ hồ sơ và báo cáo của Cảng vụ, Cục Hàng hải và Đường thủy Việt Nam phê duyệt kế hoạch an ninh và cấp giấy chứng nhận phù hợp an ninh cảng thủy nội địa tiếp nhận phương tiện thủy nước ngoài.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14000000 Đồng</w:t>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theo quy định, Cảng vụ thẩm định hồ sơ và báo cáo kết quả thẩm định gửi kèm 02 bộ hồ sơ đến Cục Hàng hải và Đường thủy Việt Nam. 
- Trong thời hạn 05 ngày làm việc, kể từ ngày nhận đủ hồ sơ và báo cáo của Cảng vụ, Cục Hàng hải và Đường thủy Việt Nam phê duyệt kế hoạch an ninh và cấp giấy chứng nhận phù hợp an ninh cảng thủy nội địa tiếp nhận phương tiện thủy nước ngoài.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phê duyệt kế hoạch an ninh và cấp giấy chứng nhận phù hợp an ninh cảng thủy nội địa tiếp nhận phương tiện thủy nước ngoài theo mẫu;</w:t>
            </w:r>
          </w:p>
        </w:tc>
        <w:tc>
          <w:p/>
          <w:p>
            <w:pPr>
              <w:spacing w:after="0" w:before="0" w:lineRule="auto" w:line="276"/>
              <w:jc w:val="left"/>
            </w:pPr>
            <w:r>
              <w:rPr>
                <w:rFonts w:ascii="Times New Roman" w:hAnsi="Times New Roman" w:cs="Times New Roman" w:eastAsia="Times New Roman"/>
                <w:b w:val="false"/>
                <w:sz w:val="26"/>
              </w:rPr>
              <w:t>14.docx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đánh giá an ninh đã được cơ quan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an ninh.</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Cục Đường thủy nội địa Việt Nam, Cảng vụ hàng hải, Cảng vụ Đường thủy nội địa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phê duyệt kế hoạch an ninh cảng thủy nội địa tiếp nhận phương tiện thủy nước ngoài, Giấy chứng nhận phù hợp an ninh cảng thủy nội địa tiếp nhận phương tiện thủy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08/2021/NĐ-CP</w:t>
            </w:r>
          </w:p>
        </w:tc>
        <w:tc>
          <w:p/>
          <w:p>
            <w:pPr>
              <w:spacing w:after="0" w:before="0" w:lineRule="auto" w:line="276"/>
              <w:jc w:val="left"/>
            </w:pPr>
            <w:r>
              <w:rPr>
                <w:rFonts w:ascii="Times New Roman" w:hAnsi="Times New Roman" w:cs="Times New Roman" w:eastAsia="Times New Roman"/>
                <w:b w:val="false"/>
                <w:sz w:val="26"/>
              </w:rPr>
              <w:t>Nghị định 08/2021/NĐ-CP</w:t>
            </w:r>
          </w:p>
        </w:tc>
        <w:tc>
          <w:p/>
          <w:p>
            <w:pPr>
              <w:spacing w:after="0" w:before="0" w:lineRule="auto" w:line="276"/>
              <w:jc w:val="left"/>
            </w:pPr>
            <w:r>
              <w:rPr>
                <w:rFonts w:ascii="Times New Roman" w:hAnsi="Times New Roman" w:cs="Times New Roman" w:eastAsia="Times New Roman"/>
                <w:b w:val="false"/>
                <w:sz w:val="26"/>
              </w:rPr>
              <w:t>28-01-2021</w:t>
            </w:r>
          </w:p>
        </w:tc>
        <w:tc>
          <w:p/>
        </w:tc>
      </w:tr>
      <w:tr>
        <w:tc>
          <w:p/>
          <w:p>
            <w:pPr>
              <w:spacing w:after="0" w:before="0" w:lineRule="auto" w:line="276"/>
              <w:jc w:val="left"/>
            </w:pPr>
            <w:r>
              <w:rPr>
                <w:rFonts w:ascii="Times New Roman" w:hAnsi="Times New Roman" w:cs="Times New Roman" w:eastAsia="Times New Roman"/>
                <w:b w:val="false"/>
                <w:sz w:val="26"/>
              </w:rPr>
              <w:t>198/2016/TT-BTC</w:t>
            </w:r>
          </w:p>
        </w:tc>
        <w:tc>
          <w:p/>
          <w:p>
            <w:pPr>
              <w:spacing w:after="0" w:before="0" w:lineRule="auto" w:line="276"/>
              <w:jc w:val="left"/>
            </w:pPr>
            <w:r>
              <w:rPr>
                <w:rFonts w:ascii="Times New Roman" w:hAnsi="Times New Roman" w:cs="Times New Roman" w:eastAsia="Times New Roman"/>
                <w:b w:val="false"/>
                <w:sz w:val="26"/>
              </w:rPr>
              <w:t>Thông tư 198/2016/TT-BTC</w:t>
            </w:r>
          </w:p>
        </w:tc>
        <w:tc>
          <w:p/>
          <w:p>
            <w:pPr>
              <w:spacing w:after="0" w:before="0" w:lineRule="auto" w:line="276"/>
              <w:jc w:val="left"/>
            </w:pPr>
            <w:r>
              <w:rPr>
                <w:rFonts w:ascii="Times New Roman" w:hAnsi="Times New Roman" w:cs="Times New Roman" w:eastAsia="Times New Roman"/>
                <w:b w:val="false"/>
                <w:sz w:val="26"/>
              </w:rPr>
              <w:t>08-11-2016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2025-11-27T15:51:24Z</dcterms:created>
  <dc:creator>Apache POI</dc:creator>
</cp:coreProperties>
</file>