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1.007612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phát kinh phí đối với các tổ chức, đơn vị trực thuộc các Bộ, ngành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Tài chính doanh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Các Bộ, ngành rà soát, thẩm định tổng hợp số liệu đề nghị cấp kinh phí hỗ trợ đào tạo, kinh phí bảo hiểm và 20% kinh phí giảm khoán theo định mức lao động chung của các tổ chức, đơn vị trực thuộc, có văn bản báo cáo Bộ Tài chính.
- Bước 2: Bộ Tài chính thẩm định và cấp kinh phí bằng lệnh chi tiền cho các Bộ, ngành để chi trả cho tổ chức, đơn vị có sử dụng lao động là người dân tộc thiểu số theo quy định của Luật ngân sách nhà nước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10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10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Hồ sơ hỗ trợ kinh phí đào tạo: 	Trường hợp đào tạo tập trung tại các trường lớp dạy nghề: Hợp đồng đào tạo, thanh lý hợp đồng, chứng từ thanh toán tiền giữa đơn vị với các trường lớp dạy nghề. 	Trường hợp đào tạo tại đơn vị: Quyết định của đơn vị tổ chức lớp học, số người đào tạo, ngành, nghề đào tạo, các chứng từ thanh toán liên quan đến việc tổ chức lớp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hỗ trợ kinh phí đóng bảo hiểm: Danh sách lao động là người dân tộc thiểu số, mức đóng bảo hiểm xã hội, bảo hiểm y tế, bảo hiểm thất nghiệp có xác nhận của cơ quan bảo hiểm.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hỗ trợ 20% định mức lao động chung: Định mức lao động chung để giao khoán hoặc trả công cho lao động do cơ quan có thẩm quyền quyết định, danh sách lao động là người dân tộc thiểu số có mặt thường xuyên trong năm quyết toán.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Phát triển doanh nghiệp nhà nước - Bộ tài chính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của Bộ Tài chính về số kinh phí hỗ trợ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42/2012/QĐ-TTg</w:t>
            </w:r>
          </w:p>
        </w:tc>
        <w:tc>
          <w:p/>
          <w:p>
            <w:pPr>
              <w:spacing w:after="0" w:before="0" w:lineRule="auto" w:line="276"/>
              <w:jc w:val="left"/>
            </w:pPr>
            <w:r>
              <w:rPr>
                <w:rFonts w:ascii="Times New Roman" w:hAnsi="Times New Roman" w:cs="Times New Roman" w:eastAsia="Times New Roman"/>
                <w:b w:val="false"/>
                <w:sz w:val="26"/>
              </w:rPr>
              <w:t>Về việc hỗ trợ tổ chức, đơn vị sử dụng lao động là người dân tộc thiểu số tại khu vực miền núi, vùng đặc biệt khó khăn</w:t>
            </w:r>
          </w:p>
        </w:tc>
        <w:tc>
          <w:p/>
          <w:p>
            <w:pPr>
              <w:spacing w:after="0" w:before="0" w:lineRule="auto" w:line="276"/>
              <w:jc w:val="left"/>
            </w:pPr>
            <w:r>
              <w:rPr>
                <w:rFonts w:ascii="Times New Roman" w:hAnsi="Times New Roman" w:cs="Times New Roman" w:eastAsia="Times New Roman"/>
                <w:b w:val="false"/>
                <w:sz w:val="26"/>
              </w:rPr>
              <w:t>08-10-2012</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xml:space="preserve">52/2013/TT-BTC </w:t>
            </w:r>
          </w:p>
        </w:tc>
        <w:tc>
          <w:p/>
          <w:p>
            <w:pPr>
              <w:spacing w:after="0" w:before="0" w:lineRule="auto" w:line="276"/>
              <w:jc w:val="left"/>
            </w:pPr>
            <w:r>
              <w:rPr>
                <w:rFonts w:ascii="Times New Roman" w:hAnsi="Times New Roman" w:cs="Times New Roman" w:eastAsia="Times New Roman"/>
                <w:b w:val="false"/>
                <w:sz w:val="26"/>
              </w:rPr>
              <w:t>Hướng dẫn hỗ trợ tổ chức, đơn vị sử dụng lao động là người dân tộc thiểu số tại khu vực miền núi, vùng đặc biệt khó khăn theo Quyết định số 42/2012/QĐ-TTg ngày 08/10/2012 của Thủ tướng Chính phủ</w:t>
            </w:r>
          </w:p>
        </w:tc>
        <w:tc>
          <w:p/>
          <w:p>
            <w:pPr>
              <w:spacing w:after="0" w:before="0" w:lineRule="auto" w:line="276"/>
              <w:jc w:val="left"/>
            </w:pPr>
            <w:r>
              <w:rPr>
                <w:rFonts w:ascii="Times New Roman" w:hAnsi="Times New Roman" w:cs="Times New Roman" w:eastAsia="Times New Roman"/>
                <w:b w:val="false"/>
                <w:sz w:val="26"/>
              </w:rPr>
              <w:t>03-05-2013</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đơn vị có sử dụng lao động là người dân tộc thiểu số tại khu vực miền núi, vùng đặc biệt khó khăn theo Quyết định số 42/2012/QĐ-TTg.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https://thutuc.dichvucong.gov.vn/p/home/dvc-tthc-thu-tuc-hanh-chinh-chi-tiet.html?ma_thu_tuc=10000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2025-11-27T15:52:10Z</dcterms:created>
  <dc:creator>Apache POI</dc:creator>
</cp:coreProperties>
</file>