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2902/QĐ-BCT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khuyến mại đối với chương trình khuyến mại mang tính may rủi thực hiện trên địa bàn 01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hồ sơ đăng ký thực hiện chương trình khuyến mại đến Sở Công Thương.
- Sở Công Thương xem xét, trả lời xác nhận hoặc không xác nhận việc đăng ký thực hiện chương trình khuyến mại của thương nhân; trong trường hợp không xác nhận phải nêu rõ lý do theo quy định của pháp luật.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trực tiếp tại trụ sở Sở Công Thương;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Hệ thống thông tin giải quyết thủ tục hành chính cấp tỉnh.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dịch vụ bưu chính đến Sở Công Thương;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Đăng ký thực hiện chương trình khuyến mại theo mẫu quy định;</w:t>
            </w:r>
          </w:p>
        </w:tc>
        <w:tc>
          <w:p/>
          <w:p>
            <w:pPr>
              <w:spacing w:after="0" w:before="0" w:lineRule="auto" w:line="276"/>
              <w:jc w:val="left"/>
            </w:pPr>
            <w:r>
              <w:rPr>
                <w:rFonts w:ascii="Times New Roman" w:hAnsi="Times New Roman" w:cs="Times New Roman" w:eastAsia="Times New Roman"/>
                <w:b w:val="false"/>
                <w:sz w:val="26"/>
              </w:rPr>
              <w:t>Mẫu số 02 ĐP.docx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Thể lệ chương trình khuyến mại theo mẫu quy định;</w:t>
            </w:r>
          </w:p>
        </w:tc>
        <w:tc>
          <w:p/>
          <w:p>
            <w:pPr>
              <w:spacing w:after="0" w:before="0" w:lineRule="auto" w:line="276"/>
              <w:jc w:val="left"/>
            </w:pPr>
            <w:r>
              <w:rPr>
                <w:rFonts w:ascii="Times New Roman" w:hAnsi="Times New Roman" w:cs="Times New Roman" w:eastAsia="Times New Roman"/>
                <w:b w:val="false"/>
                <w:sz w:val="26"/>
              </w:rPr>
              <w:t>Mẫu số 03 ĐP.docx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bằng chứng xác định trúng thưởng hoặc mô tả chi tiết về bằng chứng xác định trúng thưởng;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hoạt động khuyến mại đối với chương trình khuyến mại mang tính may rủi thực hiện trên địa bàn 1 tỉnh, thành phố trực thuộc Trung ương, Công văn không xác nhận Đăng ký hoạt động khuyến mại đối với chương trình khuyến mại mang tính may rủi thực hiện trên địa bàn 1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81/2018/NĐ-CP</w:t>
            </w:r>
          </w:p>
        </w:tc>
        <w:tc>
          <w:p/>
          <w:p>
            <w:pPr>
              <w:spacing w:after="0" w:before="0" w:lineRule="auto" w:line="276"/>
              <w:jc w:val="left"/>
            </w:pPr>
            <w:r>
              <w:rPr>
                <w:rFonts w:ascii="Times New Roman" w:hAnsi="Times New Roman" w:cs="Times New Roman" w:eastAsia="Times New Roman"/>
                <w:b w:val="false"/>
                <w:sz w:val="26"/>
              </w:rPr>
              <w:t>NGHỊ ĐỊNH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21-05-2018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05-02-2020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128/2024/NĐ-CP</w:t>
            </w:r>
          </w:p>
        </w:tc>
        <w:tc>
          <w:p/>
          <w:p>
            <w:pPr>
              <w:spacing w:after="0" w:before="0" w:lineRule="auto" w:line="276"/>
              <w:jc w:val="left"/>
            </w:pPr>
            <w:r>
              <w:rPr>
                <w:rFonts w:ascii="Times New Roman" w:hAnsi="Times New Roman" w:cs="Times New Roman" w:eastAsia="Times New Roman"/>
                <w:b w:val="false"/>
                <w:sz w:val="26"/>
              </w:rPr>
              <w:t>Nghị định số 128/2024/NĐ-CP sửa đổi, bổ sung một số điều của Nghị định số 81/2018/NĐ-CP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10-10-2024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2025-11-30T15:13:41Z</dcterms:created>
  <dc:creator>Apache POI</dc:creator>
</cp:coreProperties>
</file>