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định và chứng nhận chất lượng an toàn kỹ thuật và phòng ngừa ô nhiễm môi trường cho công-te-nơ, máy, vật liệu, trang thiết bị sử dụng cho tàu biển trong chế tạo, lắp ráp, nhập khẩu, sửa chữa phục hồi, hoán cải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hoàn thiện 01 (một) bộ hồ sơ theo quy định và nộp hồ sơ trực tiếp hoặc qua hệ thống bưu chính hoặc qua cổng dịch vụ công trực tuyến hoặc bằng hình thức phù hợp khác đến Cục Đăng kiểm Việt Nam hoặc Chi cục Đăng kiểm (sau đây gọi là cơ quan đăng kiểm).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Cơ quan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với người nộp hồ sơ về thời gian kiểm tra thực tế tại địa điểm do người nộp hồ sơ yêu cầu trong thời hạn không quá 07 (bảy) ngày làm việc kể từ ngày người nộp hồ sơ đề nghị.
- Sau khi kiểm tiến hành kiểm tra, nếu kết quả kiểm tra đạt yêu cầu, cơ quan đăng kiểm cấp Giấy chứng nhận theo quy định trong thời hạn 03 (ba) ngày làm việc, kể từ ngày hoàn thành kiểm tra; nếu không đạt thì thông báo bằng văn bản cho tổ chức, cá nhân.
- Tổ chức, cá nhân nhận kết quả trực tiếp tại cơ quan tiếp nhận hồ sơ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kiểm định của công-te-nơ, máy, vật liệu, trang thiết bị được tính theo quy định tại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- 03 ngày làm việc, kể từ khi hoàn thành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kiểm định của công-te-nơ, máy, vật liệu, trang thiết bị được tính theo quy định tại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- 03 ngày làm việc, kể từ khi hoàn thành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kiểm định của công-te-nơ, máy, vật liệu, trang thiết bị được tính theo quy định tại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- 03 ngày làm việc, kể từ khi hoàn thành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VB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(một) bản sao bộ hồ sơ kỹ thuật bao gồm thông số kỹ thuật và các báo cáo kiểm tra, thử công-te-nơ, máy, vật liệu, trang thiết bị (trường hợp nộp hồ trực tiếp hoặc qua hệ thống bưu chính) hoặc bản sao điện tử (trường hợp nộp hồ sơ qua cổng dịch vụ công trực tuyến hoặc bằng hình thức phù hợp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 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 Chi cục Đăng kiểm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 hoặc Chi cục Đăng kiểm;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chất lượng an toàn kỹ thuật.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199/2016/TT-BTC</w:t>
            </w:r>
          </w:p>
        </w:tc>
        <w:tc>
          <w:p/>
          <w:p>
            <w:pPr>
              <w:spacing w:after="0" w:before="0" w:lineRule="auto" w:line="276"/>
              <w:jc w:val="left"/>
            </w:pPr>
            <w:r>
              <w:rPr>
                <w:rFonts w:ascii="Times New Roman" w:hAnsi="Times New Roman" w:cs="Times New Roman" w:eastAsia="Times New Roman"/>
                <w:b w:val="false"/>
                <w:sz w:val="26"/>
              </w:rPr>
              <w:t>uy định mức thu, chế độ thu, nộp, quản lý lệ phí cấp giấy chứng nhận bảo đảm chất lượng, an toàn kỹ thuật đối với máy,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40/2016/TT-BGTVT	</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16/2022/TT-BGTVT</w:t>
            </w:r>
          </w:p>
        </w:tc>
        <w:tc>
          <w:p/>
          <w:p>
            <w:pPr>
              <w:spacing w:after="0" w:before="0" w:lineRule="auto" w:line="276"/>
              <w:jc w:val="left"/>
            </w:pPr>
            <w:r>
              <w:rPr>
                <w:rFonts w:ascii="Times New Roman" w:hAnsi="Times New Roman" w:cs="Times New Roman" w:eastAsia="Times New Roman"/>
                <w:b w:val="false"/>
                <w:sz w:val="26"/>
              </w:rPr>
              <w:t>Thông tư 16/2022/TT-BGTVT</w:t>
            </w:r>
          </w:p>
        </w:tc>
        <w:tc>
          <w:p/>
          <w:p>
            <w:pPr>
              <w:spacing w:after="0" w:before="0" w:lineRule="auto" w:line="276"/>
              <w:jc w:val="left"/>
            </w:pPr>
            <w:r>
              <w:rPr>
                <w:rFonts w:ascii="Times New Roman" w:hAnsi="Times New Roman" w:cs="Times New Roman" w:eastAsia="Times New Roman"/>
                <w:b w:val="false"/>
                <w:sz w:val="26"/>
              </w:rPr>
              <w:t>30-06-2022</w:t>
            </w:r>
          </w:p>
        </w:tc>
        <w:tc>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Công-te-nơ, máy, vật liệu, trang thiết bị sử dụng trên tàu biển trong chế tạo, lắp ráp, nhập khẩu, sửa chữa phục hồi, hoán cải phải thỏa mãn quy định của các quy chuẩn kỹ thuật quốc gia về an toàn công-te-nơ, phân cấp và đóng tàu biển, trang bị an toàn tàu biển, thiết bị nâng dùng trên tàu biển, các hệ thống ngăn ngừa ô nhiễm của tàu biển. Ngoài ra, công-te-nơ, máy, trang thiết bị sử dụng trên tàu biển hoạt động tuyến quốc tế còn phải thỏa mãn các điều ước quốc tế về an toàn hàng hải, an ninh hàng hải, điều kiện lao động hàng hải và phòng ngừa ô nhiễm môi trường mà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2025-11-27T15:44:35Z</dcterms:created>
  <dc:creator>Apache POI</dc:creator>
</cp:coreProperties>
</file>