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2.000015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2628/QĐ-BTC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hải quan đối với xuất khẩu, tái xuất xăng dầu cho tàu biển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Hải quan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Doanh nghiệp gửi hồ sơ đề nghị làm thủ tục hải quan đối với xuất khẩu, tái xuất xăng dầu cho tàu biển.</w:t>
      </w:r>
    </w:p>
    <w:p>
      <w:pPr>
        <w:spacing w:after="0" w:before="0" w:lineRule="auto" w:line="276"/>
        <w:jc w:val="both"/>
      </w:pPr>
      <w:r>
        <w:rPr>
          <w:rFonts w:ascii="Times New Roman" w:hAnsi="Times New Roman" w:cs="Times New Roman" w:eastAsia="Times New Roman"/>
          <w:b w:val="false"/>
          <w:sz w:val="26"/>
        </w:rPr>
        <w:t xml:space="preserve"> Bước 2: Trong thời hạn bảy làm việc kể từ ngày nhận đủ hồ sơ hợp lệ, Chi cục Hải quan thực hiện: Kiểm tra hồ sơ (trường hợp có nghi vấn với chứng từ bản chụp, Chi cục Hải quan yêu cầu doanh nghiệp xuất trình bản chính để kiểm tra, đối chiếu); lập Phiếu theo dõi trừ lùi khi làm thủ tục tái xuất; tính thuế, thu thuế đối với phần xăng dầu đã làm thủ tục tái xuất cho tàu biển, tàu bay chạy chặng nội địa trong hành trình chạy tuyến quốc tế hoặc tàu biển, tàu bay đã xuất cảnh nhưng vì lý do khách quan không xuất cảnh để chạy tuyến quốc tế hoặc đã làm thủ tục xuất cảnh nhưng thay đổi lịch trình (có thêm chặng nội địa); xác định xăng dầu đã xuất khẩu đối với xăng dầu xuất khẩu, tái xuất.</w:t>
      </w:r>
    </w:p>
    <w:p>
      <w:pPr>
        <w:spacing w:after="0" w:before="0" w:lineRule="auto" w:line="276"/>
        <w:jc w:val="both"/>
      </w:pPr>
      <w:r>
        <w:rPr>
          <w:rFonts w:ascii="Times New Roman" w:hAnsi="Times New Roman" w:cs="Times New Roman" w:eastAsia="Times New Roman"/>
          <w:b w:val="false"/>
          <w:sz w:val="26"/>
        </w:rPr>
        <w:t xml:space="preserve"> Bước 3: Doanh nghiệp thực hiện nộp thuế đối với xăng dầu xuất khẩu, xăng dầu tái xuất nhưng thực sử dụng trong nội địa</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Tối đa 15 ngày</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Tối đa 15 ngày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Hồ sơ hải quan đối với xăng dầu tái xuất:</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01 (một) bản sao tài liệu chứng minh quyền sở hữu hoặc quản lý, thuê tàu trần và cam kết thực hiện toàn bộ các nghĩa vụ và trách nhiệm theo quy định của Bộ luật ISM nếu công ty không phải là chủ sở hữu tàu biển (đối với trường hợp cấp giấy chứng nhận tạm thời hoặc lần đầu).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Tờ khai hàng hóa xuất khẩu theo các chỉ tiêu thông tin tại Phụ lục II ban hành kèm theo Thông tư số 38/2015/TT-BTC ngày 25/3/2015 của Bộ Tài chính.  Trường hợp thực hiện trên tờ khai hải quan giấy theo quy định tại khoản 2 Điều 25 Nghị định số 08/2015/NĐ-CP ngày 21/1/2015 của Chính phủ, người khai hải quan khai và nộp 02 bản chính tờ khai hàng hóa nhập khẩu theo mẫu HQ/2015/NK Phụ lục IV ban hành kèm theo Thông tư số 38/2015/TT-BTC;</w:t>
            </w:r>
          </w:p>
        </w:tc>
        <w:tc>
          <w:p/>
          <w:p>
            <w:pPr>
              <w:spacing w:after="0" w:before="0" w:lineRule="auto" w:line="276"/>
              <w:jc w:val="left"/>
            </w:pPr>
            <w:r>
              <w:rPr>
                <w:rFonts w:ascii="Times New Roman" w:hAnsi="Times New Roman" w:cs="Times New Roman" w:eastAsia="Times New Roman"/>
                <w:b w:val="false"/>
                <w:sz w:val="26"/>
              </w:rPr>
              <w:t>Phu luc 4-Mau to khai xuat khau, nhap khau.doc</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phép kinh doanh xuất nhập khẩu xăng dầu: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chứng nhận đủ điều kiện xuất nhập khẩu khí hoặc văn bản có giá trị tương đương: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Hóa đơn thương mại: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Hợp đồng bán hàng, phụ lục hợp đồng (nếu có):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chứng nhận đăng ký doanh nghiệp và Hợp đồng đại lý với công ty cung ứng tàu biển: 01 bản chụp (nộp lần đầu);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Chứng thư giám định lượng (trường hợp hàng hóa vận chuyển bằng phương tiện vận tải đường thủy qua cửa khẩu cảng thủy nội địa, cửa khẩu cảng biển):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phép xuất khẩu đối với hàng hóa phải có giấy phép nhập khẩu: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đặt hàng (order) của thuyền trưởng hoặc chủ tàu hoặc đại lý chủ tàu hoặc hoặc người được chủ phương tiện vận tải ủy quyền: 01 bản chính hoặc bản fax; e-mail; telex có xác nhận của giám đốc hoặc người được giám đốc ủy quyền ký tên, đóng dấu theo quy định và hoàn toàn chịu trách nhiệm trước pháp luật về tính hợp pháp của chứng từ. Trong đơn đặt hàng phải thể hiện rõ nội dung:  - Cảng đến tiếp theo là cảng nước ngoài;  - Nếu cảng tiếp theo là cảng biển, cảng sông Việt Nam (tàu chuyển cảng) thì phải có định mức lượng xăng dầu tiêu thụ chạy chặng nội địa (từ cảng hiện tại tới cảng xuát cảnh thuộc Cục Hải quan tỉnh, thành phố khác quản lý);  - Lượng xăng dầu chạy tuyến quốc tế xuất cảnh;  - Thời gian dự kiến xuất cảnh phải phù hợp với thời gian hiệu lực của tờ khai và thời gian lưu giữ xăng dầu tái xuất tại Việt Nam;  - Tên, loại, số hô hiệu (nếu có) tàu mua xăng dầu từ nguồn tạm nhập trên tờ khai hải quan;  - Cam kết về tính chính xác và sử dụng lượng xăng dầu đúng mục đích;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Phiếu xuất kho: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Biên bản giao nhận nhiên liệu giữa phương tiện vận tải vận chuyển xăng dầu và tàu biển: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Hóa đơn bán hàng hoặc chứng từ thanh toán: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Hồ sơ hải quan đối với xăng dầu xuất khẩu: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hàng hóa xuất khẩu theo các chỉ tiêu thông tin tại Phụ lục II ban hành kèm theo Thông tư số 38/2015/TT-BTC ngày 25/3/2015 của Bộ Tài chính.  Trường hợp thực hiện trên tờ khai hải quan giấy theo quy định tại khoản 2 Điều 25 Nghị định số 08/2015/NĐ-CP ngày 21/1/2015 của Chính phủ, người khai hải quan khai và nộp 02 bản chính tờ khai hàng hóa nhập khẩu theo mẫu HQ/2015/NK Phụ lục IV ban hành kèm theo Thông tư số 38/2015/TT-BTC;</w:t>
            </w:r>
          </w:p>
        </w:tc>
        <w:tc>
          <w:p/>
          <w:p>
            <w:pPr>
              <w:spacing w:after="0" w:before="0" w:lineRule="auto" w:line="276"/>
              <w:jc w:val="left"/>
            </w:pPr>
            <w:r>
              <w:rPr>
                <w:rFonts w:ascii="Times New Roman" w:hAnsi="Times New Roman" w:cs="Times New Roman" w:eastAsia="Times New Roman"/>
                <w:b w:val="false"/>
                <w:sz w:val="26"/>
              </w:rPr>
              <w:t>Phu luc 4-Mau to khai xuat khau, nhap khau.doc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phép kinh doanh xuất nhập khẩu xăng dầu: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3</w:t>
            </w:r>
          </w:p>
        </w:tc>
      </w:tr>
      <w:tr>
        <w:tc>
          <w:p/>
          <w:p>
            <w:pPr>
              <w:spacing w:after="0" w:before="0" w:lineRule="auto" w:line="276"/>
              <w:jc w:val="left"/>
            </w:pPr>
            <w:r>
              <w:rPr>
                <w:rFonts w:ascii="Times New Roman" w:hAnsi="Times New Roman" w:cs="Times New Roman" w:eastAsia="Times New Roman"/>
                <w:b w:val="false"/>
                <w:sz w:val="26"/>
              </w:rPr>
              <w:t>Giấy chứng nhận đủ điều kiện xuất nhập khẩu khí hoặc văn bản có giá trị tương đương: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Hóa đơn thương mại: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chứng nhận đăng ký doanh nghiệp và Hợp đồng đại lý với công ty cung ứng tàu biển: 01 bản chụp (nộp lần đầu);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Đơn đặt hàng (order) của thuyền trưởng hoặc chủ tàu hoặc đại lý chủ tàu hoặc người được chủ phương tiện vận tải ủy quyền: 01 bản chính hoặc bản fax; e-mail; telex có xác nhận của giám đốc hoặc người được giám đốc ủy quyền ký tên, đóng dấu và hoàn toàn chịu trách nhiệm trước pháp luật về tính hợp pháp của chứng từ;</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Phiếu xuất kho: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Biên bản giao nhận nhiên liệu giữa phương tiện vận tải vận chuyển xăng dầu và tàu biển: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Hóa đơn bán hàng hoặc chứng từ thanh toán: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nêu rõ nguồn gốc xăng dầu, khí xuất khẩu (nguồn do Thương nhân nhập khẩu hoặc mua của Thương nhân đầu mối nhập khẩu hoặc lấy từ nguồn sản xuất, pha chế xăng dầu, khí):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xác nhận của Bộ Công Thương về đăng ký kế hoạch sản xuất, nhập khẩu nguyên liệu và tiêu thụ sản phẩm xăng dầu: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phép xuất khẩu đối với hàng hóa phải có giấy phép nhập khẩu: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Chứng thư giám định lượng (trường hợp hàng hóa vận chuyển bằng phương tiện vận tải đường thủy qua cửa khẩu cảng thủy nội địa, cửa khẩu cảng biển):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Chi cục Hải quan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Chi cục Hải quan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Chi cục Hải quan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Xác nhận xăng dầu đã xuất khẩu, tái xuất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54/2014/QH13</w:t>
            </w:r>
          </w:p>
        </w:tc>
        <w:tc>
          <w:p/>
          <w:p>
            <w:pPr>
              <w:spacing w:after="0" w:before="0" w:lineRule="auto" w:line="276"/>
              <w:jc w:val="left"/>
            </w:pPr>
            <w:r>
              <w:rPr>
                <w:rFonts w:ascii="Times New Roman" w:hAnsi="Times New Roman" w:cs="Times New Roman" w:eastAsia="Times New Roman"/>
                <w:b w:val="false"/>
                <w:sz w:val="26"/>
              </w:rPr>
              <w:t>Luật 54/2014/QH13</w:t>
            </w:r>
          </w:p>
        </w:tc>
        <w:tc>
          <w:p/>
          <w:p>
            <w:pPr>
              <w:spacing w:after="0" w:before="0" w:lineRule="auto" w:line="276"/>
              <w:jc w:val="left"/>
            </w:pPr>
            <w:r>
              <w:rPr>
                <w:rFonts w:ascii="Times New Roman" w:hAnsi="Times New Roman" w:cs="Times New Roman" w:eastAsia="Times New Roman"/>
                <w:b w:val="false"/>
                <w:sz w:val="26"/>
              </w:rPr>
              <w:t>23-06-2014</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08/2015/NĐ-CP</w:t>
            </w:r>
          </w:p>
        </w:tc>
        <w:tc>
          <w:p/>
          <w:p>
            <w:pPr>
              <w:spacing w:after="0" w:before="0" w:lineRule="auto" w:line="276"/>
              <w:jc w:val="left"/>
            </w:pPr>
            <w:r>
              <w:rPr>
                <w:rFonts w:ascii="Times New Roman" w:hAnsi="Times New Roman" w:cs="Times New Roman" w:eastAsia="Times New Roman"/>
                <w:b w:val="false"/>
                <w:sz w:val="26"/>
              </w:rPr>
              <w:t>Nghị định 08/2015/NĐ-CP</w:t>
            </w:r>
          </w:p>
        </w:tc>
        <w:tc>
          <w:p/>
          <w:p>
            <w:pPr>
              <w:spacing w:after="0" w:before="0" w:lineRule="auto" w:line="276"/>
              <w:jc w:val="left"/>
            </w:pPr>
            <w:r>
              <w:rPr>
                <w:rFonts w:ascii="Times New Roman" w:hAnsi="Times New Roman" w:cs="Times New Roman" w:eastAsia="Times New Roman"/>
                <w:b w:val="false"/>
                <w:sz w:val="26"/>
              </w:rPr>
              <w:t>21-01-2015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38/2015/TT-BTC</w:t>
            </w:r>
          </w:p>
        </w:tc>
        <w:tc>
          <w:p/>
          <w:p>
            <w:pPr>
              <w:spacing w:after="0" w:before="0" w:lineRule="auto" w:line="276"/>
              <w:jc w:val="left"/>
            </w:pPr>
            <w:r>
              <w:rPr>
                <w:rFonts w:ascii="Times New Roman" w:hAnsi="Times New Roman" w:cs="Times New Roman" w:eastAsia="Times New Roman"/>
                <w:b w:val="false"/>
                <w:sz w:val="26"/>
              </w:rPr>
              <w:t>Thông tư 38/2015/TT-BTC</w:t>
            </w:r>
          </w:p>
        </w:tc>
        <w:tc>
          <w:p/>
          <w:p>
            <w:pPr>
              <w:spacing w:after="0" w:before="0" w:lineRule="auto" w:line="276"/>
              <w:jc w:val="left"/>
            </w:pPr>
            <w:r>
              <w:rPr>
                <w:rFonts w:ascii="Times New Roman" w:hAnsi="Times New Roman" w:cs="Times New Roman" w:eastAsia="Times New Roman"/>
                <w:b w:val="false"/>
                <w:sz w:val="26"/>
              </w:rPr>
              <w:t>25-03-2015</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69/2016/TT-BTC</w:t>
            </w:r>
          </w:p>
        </w:tc>
        <w:tc>
          <w:p/>
          <w:p>
            <w:pPr>
              <w:spacing w:after="0" w:before="0" w:lineRule="auto" w:line="276"/>
              <w:jc w:val="left"/>
            </w:pPr>
            <w:r>
              <w:rPr>
                <w:rFonts w:ascii="Times New Roman" w:hAnsi="Times New Roman" w:cs="Times New Roman" w:eastAsia="Times New Roman"/>
                <w:b w:val="false"/>
                <w:sz w:val="26"/>
              </w:rPr>
              <w:t>Thông tư 69/2016/TT-BTC</w:t>
            </w:r>
          </w:p>
        </w:tc>
        <w:tc>
          <w:p/>
          <w:p>
            <w:pPr>
              <w:spacing w:after="0" w:before="0" w:lineRule="auto" w:line="276"/>
              <w:jc w:val="left"/>
            </w:pPr>
            <w:r>
              <w:rPr>
                <w:rFonts w:ascii="Times New Roman" w:hAnsi="Times New Roman" w:cs="Times New Roman" w:eastAsia="Times New Roman"/>
                <w:b w:val="false"/>
                <w:sz w:val="26"/>
              </w:rPr>
              <w:t>06-05-2016</w:t>
            </w:r>
          </w:p>
        </w:tc>
        <w:tc>
          <w:p/>
          <w:p>
            <w:pPr>
              <w:spacing w:after="0" w:before="0" w:lineRule="auto" w:line="276"/>
              <w:jc w:val="left"/>
            </w:pPr>
            <w:r>
              <w:rPr>
                <w:rFonts w:ascii="Times New Roman" w:hAnsi="Times New Roman" w:cs="Times New Roman" w:eastAsia="Times New Roman"/>
                <w:b w:val="false"/>
                <w:sz w:val="26"/>
              </w:rPr>
              <w:t>Bộ Tài chính</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Cung ứng (tái xuất) xăng dầu cho tàu biển chạy tuyến quốc tế xuất cảnh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2025-11-27T15:45:47Z</dcterms:created>
  <dc:creator>Apache POI</dc:creator>
</cp:coreProperties>
</file>