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giấy phép khai thác nước mặt, nước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đề nghị gia hạn, điều chỉnh giấy phép nộp 01 bộ hồ sơ trực tiếp hoặc thông qua dịch vụ bưu chính viễn thông hoặc qua ủy quyền theo quy định của pháp luật đến Văn phòng Tiếp nhận và Trả kết quả giải quyết thủ tục hành chính của Bộ Nông nghiệp và Môi trường (sau đây gọi tắt là Văn phòng Một cửa), địa chỉ số 10 Tôn Thất Thuyết, Nam Từ Liêm, Hà Nội hoặc trực tuyến tại cổng dịch vụ công tại địa chỉ https://dichvucong.mae.gov.vn.
- Bước 2: Tiếp nhận, kiểm tra hồ sơ:
Văn phòng Một cửa có trách nhiệm tiếp nhận hồ sơ, kiểm tra, xem xét tính đầy đủ, hợp lệ của hồ sơ.
+ Trường hợp hồ sơ không hợp lệ, Văn phòng Một cửa trả lại hồ sơ và thông báo rõ lý do cho tổ chức, cá nhân đề nghị gia hạn, điều chỉnh giấy phép. 
+ Trường hợp hồ sơ hợp lệ, Văn phòng Một cửa chuyển hồ sơ cho Cục Quản lý tài nguyên nước để tổ chức thẩm định.
- Bước 3: Thẩm định hồ sơ và quyết định gia hạn, điều chỉnh giấy phép:
Kể từ ngày nhận đủ hồ sơ hợp lệ, Cục Quản lý tài nguyên nước có trách nhiệm gửi thông báo nộp phí thẩm định cho tổ chức, cá nhân đề nghị gia hạn, điều chỉnh giấy phép và thẩm định hồ sơ; nếu cần thiết thì kiểm tra thực tế hiện trường, lập hội đồng thẩm định đề án, tổ chức lấy ý kiến các cơ quan, tổ chức, cá nhân có liên quan.
+ Trường hợp đủ điều kiện gia hạn, điều chỉnh, Cục Quản lý tài nguyên nước trình Bộ Tài nguyên và Môi trường gia hạn, điều chỉnh giấy phép; trường hợp không đủ điều kiện để gia hạn, điều chỉnh giấy phép thì trả lại hồ sơ cho tổ chức, cá nhân đề nghị gia hạn, điều chỉnh giấy phép và thông báo rõ lý do bằng văn bản.
+ Trường hợp phải bổ sung, chỉnh sửa để hoàn thiện đề án, Cục Quản lý tài nguyên nước gửi văn bản thông báo cho tổ chức, cá nhân đề nghị gia hạn, điều chỉnh giấy phép nêu rõ những nội dung cần bổ sung, hoàn thiện đề án. 
Thời gian bổ sung, hoàn thiện đề án không tính vào thời gian thẩm định đề án. Thời gian thẩm định sau khi đề án được bổ sung hoàn chỉnh là 24 ngày.
+ Trường hợp phải lập lại đề án, Cục Quản lý tài nguyên nước gửi văn bản thông báo cho tổ chức, cá nhân đề nghị gia hạn, điều chỉnh giấy phép nêu rõ những nội dung đề án chưa đạt yêu cầu, phải làm lại và trả lại hồ sơ đề nghị gia hạn, điều chỉnh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đề án: Trong thời hạn 35 ngày, kể từ ngày nhận đủ hồ sơ, Cục Quản lý tài nguyên nước có trách nhiệm thẩm định đề án.
- Thời gian bổ sung, hoàn thiện đề án không tính vào thời gian thẩm định đề án. Thời gian thẩm định sau khi đề án được bổ sung hoàn chỉnh là 24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đề án: Trong thời hạn 35 ngày, kể từ ngày nhận đủ hồ sơ, Cục Quản lý tài nguyên nước có trách nhiệm thẩm định đề án.
- Thời gian bổ sung, hoàn thiện đề án không tính vào thời gian thẩm định đề án. Thời gian thẩm định sau khi đề án được bổ sung hoàn chỉnh là 24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đề án: Trong thời hạn 35 ngày, kể từ ngày nhận đủ hồ sơ, Cục Quản lý tài nguyên nước có trách nhiệm thẩm định đề án.
- Thời gian bổ sung, hoàn thiện đề án không tính vào thời gian thẩm định đề án. Thời gian thẩm định sau khi đề án được bổ sung hoàn chỉnh là 24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giấy phép theo Mẫu 06, Mẫu 08 Phụ lục I Nghị định số 54/2024/NĐ-CP</w:t>
            </w:r>
          </w:p>
        </w:tc>
        <w:tc>
          <w:p/>
          <w:p>
            <w:pPr>
              <w:spacing w:after="0" w:before="0" w:lineRule="auto" w:line="276"/>
              <w:jc w:val="left"/>
            </w:pPr>
            <w:r>
              <w:rPr>
                <w:rFonts w:ascii="Times New Roman" w:hAnsi="Times New Roman" w:cs="Times New Roman" w:eastAsia="Times New Roman"/>
                <w:b w:val="false"/>
                <w:sz w:val="26"/>
              </w:rPr>
              <w:t>Mau06.doc</w:t>
            </w:r>
          </w:p>
          <w:p>
            <w:pPr>
              <w:spacing w:after="0" w:before="0" w:lineRule="auto" w:line="276"/>
              <w:jc w:val="left"/>
            </w:pPr>
            <w:r>
              <w:rPr>
                <w:rFonts w:ascii="Times New Roman" w:hAnsi="Times New Roman" w:cs="Times New Roman" w:eastAsia="Times New Roman"/>
                <w:b w:val="false"/>
                <w:sz w:val="26"/>
              </w:rPr>
              <w:t>Mau08.doc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khai thác nước và tình hình thực hiện giấy phép theo Mẫu 45, Mẫu 48, Phụ lục I Nghị định số 54/2024/NĐ-CP</w:t>
            </w:r>
          </w:p>
        </w:tc>
        <w:tc>
          <w:p/>
          <w:p>
            <w:pPr>
              <w:spacing w:after="0" w:before="0" w:lineRule="auto" w:line="276"/>
              <w:jc w:val="left"/>
            </w:pPr>
            <w:r>
              <w:rPr>
                <w:rFonts w:ascii="Times New Roman" w:hAnsi="Times New Roman" w:cs="Times New Roman" w:eastAsia="Times New Roman"/>
                <w:b w:val="false"/>
                <w:sz w:val="26"/>
              </w:rPr>
              <w:t>Mau45.doc</w:t>
            </w:r>
          </w:p>
          <w:p>
            <w:pPr>
              <w:spacing w:after="0" w:before="0" w:lineRule="auto" w:line="276"/>
              <w:jc w:val="left"/>
            </w:pPr>
            <w:r>
              <w:rPr>
                <w:rFonts w:ascii="Times New Roman" w:hAnsi="Times New Roman" w:cs="Times New Roman" w:eastAsia="Times New Roman"/>
                <w:b w:val="false"/>
                <w:sz w:val="26"/>
              </w:rPr>
              <w:t>Mau48.doc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đồ vị trí công trình khai thác nước (trừ trường hợp gia hạn giấy phép khai thác nước mặt, nước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tài nguyên nước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Tiếp nhận và Trả kết quả giải quyết thủ tục hành chính của Bộ Tài nguyên và Môi trường (sau đây gọi tắt là Văn phòng Một cửa), địa chỉ số 10 Tôn Thất Thuyết, Nam Từ Liêm, Hà Nội hoặc nộp trực tuyến tại địa chỉ http://dichvucong.monre.gov.vn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điều chỉnh giấy phép khai thác nước mặt (cấp Bộ), Quyết định Gia hạn, điều chỉnh giấy phép khai thác nước biển (cấp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136/2025/NĐ-CP</w:t>
            </w:r>
          </w:p>
        </w:tc>
        <w:tc>
          <w:p/>
          <w:p>
            <w:pPr>
              <w:spacing w:after="0" w:before="0" w:lineRule="auto" w:line="276"/>
              <w:jc w:val="left"/>
            </w:pPr>
            <w:r>
              <w:rPr>
                <w:rFonts w:ascii="Times New Roman" w:hAnsi="Times New Roman" w:cs="Times New Roman" w:eastAsia="Times New Roman"/>
                <w:b w:val="false"/>
                <w:sz w:val="26"/>
              </w:rPr>
              <w:t>Nghị định 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với trường hợp gia hạn giấy phép
+ Việc gia hạn giấy phép khai thác nước mặt, nước biển phải căn cứ vào các quy định tại Điều 55, Điều 56 và Điều 57 của Luật Tài nguyên nước.
+ Giấy phép vẫn còn hiệu lực và hồ sơ đề nghị gia hạn giấy phép phải nộp trước thời điểm giấy phép hết hiệu lực ít nhất 45 ngày;
+ Đến thời điểm nộp hồ sơ đề nghị gia hạn, tổ chức, cá nhân được cấp giấy phép đã hoàn thành đầy đủ các nghĩa vụ liên quan đến giấy phép đã được cấp theo quy định của pháp luật và không có tranh chấp;
+ Tại thời điểm nộp hồ sơ đề nghị gia hạn giấy phép, kế hoạch khai thác tài nguyên nước của tổ chức, cá nhân phù hợp với quy hoạch về tài nguyên nước, quy hoạch tỉnh, khả năng đáp ứng của nguồn nước.
- Đối với trường hợp điều chỉnh giấy phép
+ Trường hợp chủ giấy phép đề nghị điều chỉnh giấy phép thì phải lập hồ sơ điều chỉnh giấy phép theo quy định của Nghị định số 54/2024/NĐ-CP. Thời hạn của giấy phép điều chỉnh là thời hạn còn lại của giấy phép đã được cấp trước đó.
+ Trường hợp ngoài việc điều chỉnh giấy phép, nếu giấy phép thuộc trường hợp cấp lại thì chủ giấy phép thể hiện rõ trong hồ sơ đề nghị điều chỉnh giấy phép. Việc cấp lại được xem xét đồng thời trong quá trình điều chỉnh giấy phép theo quy định của Nghị định số 54/2024/NĐ-CP.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2025-11-27T15:46:25Z</dcterms:created>
  <dc:creator>Apache POI</dc:creator>
</cp:coreProperties>
</file>