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khai thác nước mặt, nước biển (đối với các trường hợp quy định tại khoản 1 Điều 15 Nghị định số 54/2024/NĐ-CP ngày 16/5/2024, trừ trường hợp quy định tại điểm c, d, đ, e khoản 4 Điều 31 Nghị định số 136/2025/NĐ-CP ngày 12/6/2025)</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Tài nguyên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Nộp hồ sơ:
Tổ chức, cá nhân đề nghị cấp phép nộp 01 bộ hồ sơ trực tiếp hoặc thông qua dịch vụ bưu chính viễn thông hoặc qua ủy quyền theo quy định của pháp luật đến Văn phòng Tiếp nhận và Trả kết quả giải quyết thủ tục hành chính của Bộ Nông nghiệp và Môi trường (sau đây gọi tắt là Văn phòng Một cửa), địa chỉ số 10 Tôn Thất Thuyết, Nam Từ Liêm, Hà Nội hoặc trực tuyến tại cổng dịch vụ công tại địa chỉ https://dichvucong.mae.gov.vn.
- Bước 2: Tiếp nhận, kiểm tra hồ sơ:
Văn phòng Một cửa có trách nhiệm tiếp nhận hồ sơ, kiểm tra, xem xét tính đầy đủ, hợp lệ của hồ sơ.
+ Trường hợp hồ sơ không hợp lệ, Văn phòng Một cửa trả lại hồ sơ và thông báo rõ lý do cho tổ chức, cá nhân đề nghị cấp phép. 
+ Trường hợp hồ sơ hợp lệ, Văn phòng Một cửa chuyển hồ sơ cho Cục Quản lý tài nguyên nước để tổ chức thẩm định.
- Bước 3: Thẩm định hồ sơ và quyết định cấp phép:
Kể từ ngày nhận đủ hồ sơ hợp lệ, Cục Quản lý tài nguyên nước có trách nhiệm gửi thông báo nộp phí thẩm định cho tổ chức, cá nhân đề nghị cấp phép và thẩm định hồ sơ; nếu cần thiết thì kiểm tra thực tế hiện trường, lập hội đồng thẩm định đề án, tổ chức lấy ý kiến các cơ quan, tổ chức, cá nhân có liên quan.
+ Trường hợp đủ điều kiện cấp phép, Cục Quản lý tài nguyên nước trình Bộ Tài nguyên và Môi trường cấp phép; trường hợp không đủ điều kiện để cấp phép thì trả lại hồ sơ cho tổ chức, cá nhân đề nghị cấp phép và thông báo rõ lý do bằng văn bản.
+ Trường hợp phải bổ sung, chỉnh sửa để hoàn thiện đề án, Cục Quản lý tài nguyên nước gửi văn bản thông báo cho tổ chức, cá nhân đề nghị cấp phép nêu rõ những nội dung cần bổ sung, hoàn thiện đề án. 
Thời gian bổ sung, hoàn thiện đề án không tính vào thời gian thẩm định đề án. Thời gian thẩm định sau khi đề án được bổ sung hoàn chỉnh là 24 ngày.
+ Trường hợp phải lập lại đề án, Cục Quản lý tài nguyên nước gửi văn bản thông báo cho tổ chức, cá nhân đề nghị cấp phép nêu rõ những nội dung đề án chưa đạt yêu cầu, phải làm lại và trả lại hồ sơ đề nghị cấp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đề án: Trong thời hạn 42 ngày, kể từ ngày nhận đủ hồ sơ, Cục Quản lý tài nguyên nước có trách nhiệm thẩm định đề án.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đề án: Trong thời hạn 42 ngày, kể từ ngày nhận đủ hồ sơ, Cục Quản lý tài nguyên nước có trách nhiệm thẩm định đề án.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w:t>
            </w:r>
          </w:p>
        </w:tc>
        <w:tc>
          <w:p/>
          <w:p>
            <w:pPr>
              <w:spacing w:after="0" w:before="0" w:lineRule="auto" w:line="276"/>
              <w:jc w:val="left"/>
            </w:pPr>
            <w:r>
              <w:rPr>
                <w:rFonts w:ascii="Times New Roman" w:hAnsi="Times New Roman" w:cs="Times New Roman" w:eastAsia="Times New Roman"/>
                <w:b w:val="false"/>
                <w:sz w:val="26"/>
              </w:rPr>
              <w:t>- Thời hạn kiểm tra hồ sơ: Trong thời hạn 03 ngày làm việc, kể từ ngày nhận hồ sơ, Bộ phận Một cửa có trách nhiệm xem xét, kiểm tra hồ sơ.
- Thời hạn thẩm định đề án: Trong thời hạn 42 ngày, kể từ ngày nhận đủ hồ sơ, Cục Quản lý tài nguyên nước có trách nhiệm thẩm định đề án.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phép theo Mẫu 05, Mẫu 07 Phụ lục I, Nghị định số 54/2024/NĐ-CP</w:t>
            </w:r>
          </w:p>
        </w:tc>
        <w:tc>
          <w:p/>
          <w:p>
            <w:pPr>
              <w:spacing w:after="0" w:before="0" w:lineRule="auto" w:line="276"/>
              <w:jc w:val="left"/>
            </w:pPr>
            <w:r>
              <w:rPr>
                <w:rFonts w:ascii="Times New Roman" w:hAnsi="Times New Roman" w:cs="Times New Roman" w:eastAsia="Times New Roman"/>
                <w:b w:val="false"/>
                <w:sz w:val="26"/>
              </w:rPr>
              <w:t>Mau07.doc</w:t>
            </w:r>
          </w:p>
          <w:p>
            <w:pPr>
              <w:spacing w:after="0" w:before="0" w:lineRule="auto" w:line="276"/>
              <w:jc w:val="left"/>
            </w:pPr>
            <w:r>
              <w:rPr>
                <w:rFonts w:ascii="Times New Roman" w:hAnsi="Times New Roman" w:cs="Times New Roman" w:eastAsia="Times New Roman"/>
                <w:b w:val="false"/>
                <w:sz w:val="26"/>
              </w:rPr>
              <w:t>Mau05.doc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khai thác nước theo Mẫu 42, Mẫu 46 (đối với trường hợp công trình chưa khai thác nước), Mẫu 43, Mẫu 47 (đối với trường hợp công trình đã khai thác nước), Mẫu 44 (đối với trường hợp công trình thủy lợi gồm: hồ chứa, đập dâng, trạm bơm, cống thủy lợi,… vận hành trước năm 2013), Phụ lục I, Nghị định số 54/2024/NĐ-CP</w:t>
            </w:r>
          </w:p>
        </w:tc>
        <w:tc>
          <w:p/>
          <w:p>
            <w:pPr>
              <w:spacing w:after="0" w:before="0" w:lineRule="auto" w:line="276"/>
              <w:jc w:val="left"/>
            </w:pPr>
            <w:r>
              <w:rPr>
                <w:rFonts w:ascii="Times New Roman" w:hAnsi="Times New Roman" w:cs="Times New Roman" w:eastAsia="Times New Roman"/>
                <w:b w:val="false"/>
                <w:sz w:val="26"/>
              </w:rPr>
              <w:t>Mau42.doc</w:t>
            </w:r>
          </w:p>
          <w:p>
            <w:pPr>
              <w:spacing w:after="0" w:before="0" w:lineRule="auto" w:line="276"/>
              <w:jc w:val="left"/>
            </w:pPr>
            <w:r>
              <w:rPr>
                <w:rFonts w:ascii="Times New Roman" w:hAnsi="Times New Roman" w:cs="Times New Roman" w:eastAsia="Times New Roman"/>
                <w:b w:val="false"/>
                <w:sz w:val="26"/>
              </w:rPr>
              <w:t>Mau43.doc</w:t>
            </w:r>
          </w:p>
          <w:p>
            <w:pPr>
              <w:spacing w:after="0" w:before="0" w:lineRule="auto" w:line="276"/>
              <w:jc w:val="left"/>
            </w:pPr>
            <w:r>
              <w:rPr>
                <w:rFonts w:ascii="Times New Roman" w:hAnsi="Times New Roman" w:cs="Times New Roman" w:eastAsia="Times New Roman"/>
                <w:b w:val="false"/>
                <w:sz w:val="26"/>
              </w:rPr>
              <w:t>Mau47.doc</w:t>
            </w:r>
          </w:p>
          <w:p>
            <w:pPr>
              <w:spacing w:after="0" w:before="0" w:lineRule="auto" w:line="276"/>
              <w:jc w:val="left"/>
            </w:pPr>
            <w:r>
              <w:rPr>
                <w:rFonts w:ascii="Times New Roman" w:hAnsi="Times New Roman" w:cs="Times New Roman" w:eastAsia="Times New Roman"/>
                <w:b w:val="false"/>
                <w:sz w:val="26"/>
              </w:rPr>
              <w:t>Mau46.doc</w:t>
            </w:r>
          </w:p>
          <w:p>
            <w:pPr>
              <w:spacing w:after="0" w:before="0" w:lineRule="auto" w:line="276"/>
              <w:jc w:val="left"/>
            </w:pPr>
            <w:r>
              <w:rPr>
                <w:rFonts w:ascii="Times New Roman" w:hAnsi="Times New Roman" w:cs="Times New Roman" w:eastAsia="Times New Roman"/>
                <w:b w:val="false"/>
                <w:sz w:val="26"/>
              </w:rPr>
              <w:t>Mau44.doc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đồ vị trí công trình khai thác nước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Kết quả phân tích chất lượng nguồn nước không quá 6 tháng tính đến thời điểm nộp hồ sơ (trừ khai thác nước biển; trừ khai thác nước mặt cho thủy điện, làm mát máy, thiết bị, tạo hơi, gia nhiệt, ngăn mặn, tạo nguồn, chống ngập, tạo cảnh quan, thi công công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Hồ sơ lấy ý kiến và văn bản tổng hợp tiếp thu, giải trình ý kiến cộng đồng (đối với trường hợp phải lấy ý kiến đại diện cộng đồng dân cư, tổ chức, cá nhân theo quy định tại điểm a, b và điểm c khoản 1 Điều 3 Nghị định số 54/2024/NĐ-CP)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tài nguyên nước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Tiếp nhận và Trả kết quả giải quyết thủ tục hành chính của Bộ Tài nguyên và Môi trường (sau đây gọi tắt là Văn phòng Một cửa), địa chỉ số 10 Tôn Thất Thuyết, Nam Từ Liêm, Hà Nội hoặc nộp trực tuyến tại địa chỉ http://dichvucong.monre.gov.vn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Cấp giấy phép khai thác nước mặt (cấp Bộ), Quyết định Cấp giấy phép khai thác nước biển (cấp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28/2023/QH15</w:t>
            </w:r>
          </w:p>
        </w:tc>
        <w:tc>
          <w:p/>
          <w:p>
            <w:pPr>
              <w:spacing w:after="0" w:before="0" w:lineRule="auto" w:line="276"/>
              <w:jc w:val="left"/>
            </w:pPr>
            <w:r>
              <w:rPr>
                <w:rFonts w:ascii="Times New Roman" w:hAnsi="Times New Roman" w:cs="Times New Roman" w:eastAsia="Times New Roman"/>
                <w:b w:val="false"/>
                <w:sz w:val="26"/>
              </w:rPr>
              <w:t>Luật Tài nguyên nước năm 2023</w:t>
            </w:r>
          </w:p>
        </w:tc>
        <w:tc>
          <w:p/>
          <w:p>
            <w:pPr>
              <w:spacing w:after="0" w:before="0" w:lineRule="auto" w:line="276"/>
              <w:jc w:val="left"/>
            </w:pPr>
            <w:r>
              <w:rPr>
                <w:rFonts w:ascii="Times New Roman" w:hAnsi="Times New Roman" w:cs="Times New Roman" w:eastAsia="Times New Roman"/>
                <w:b w:val="false"/>
                <w:sz w:val="26"/>
              </w:rPr>
              <w:t>27-11-2023</w:t>
            </w:r>
          </w:p>
        </w:tc>
        <w:tc>
          <w:p/>
        </w:tc>
      </w:tr>
      <w:tr>
        <w:tc>
          <w:p/>
          <w:p>
            <w:pPr>
              <w:spacing w:after="0" w:before="0" w:lineRule="auto" w:line="276"/>
              <w:jc w:val="left"/>
            </w:pPr>
            <w:r>
              <w:rPr>
                <w:rFonts w:ascii="Times New Roman" w:hAnsi="Times New Roman" w:cs="Times New Roman" w:eastAsia="Times New Roman"/>
                <w:b w:val="false"/>
                <w:sz w:val="26"/>
              </w:rPr>
              <w:t>54/2024/NĐ-CP</w:t>
            </w:r>
          </w:p>
        </w:tc>
        <w:tc>
          <w:p/>
          <w:p>
            <w:pPr>
              <w:spacing w:after="0" w:before="0" w:lineRule="auto" w:line="276"/>
              <w:jc w:val="left"/>
            </w:pPr>
            <w:r>
              <w:rPr>
                <w:rFonts w:ascii="Times New Roman" w:hAnsi="Times New Roman" w:cs="Times New Roman" w:eastAsia="Times New Roman"/>
                <w:b w:val="false"/>
                <w:sz w:val="26"/>
              </w:rPr>
              <w:t>QUY ĐỊNH VIỆC HÀNH NGHỀ KHOAN NƯỚC DƯỚI ĐẤT, KÊ KHAI, ĐĂNG KÝ, CẤP PHÉP, DỊCH VỤ TÀI NGUYÊN NƯỚC VÀ TIỀN CẤP QUYỀN KHAI THÁC TÀI NGUYÊN NƯỚC</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136/2025/NĐ-CP</w:t>
            </w:r>
          </w:p>
        </w:tc>
        <w:tc>
          <w:p/>
          <w:p>
            <w:pPr>
              <w:spacing w:after="0" w:before="0" w:lineRule="auto" w:line="276"/>
              <w:jc w:val="left"/>
            </w:pPr>
            <w:r>
              <w:rPr>
                <w:rFonts w:ascii="Times New Roman" w:hAnsi="Times New Roman" w:cs="Times New Roman" w:eastAsia="Times New Roman"/>
                <w:b w:val="false"/>
                <w:sz w:val="26"/>
              </w:rPr>
              <w:t>Nghị định quy định phân quyền, phân cấp trong lĩnh vực nông nghiệp và môi trường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14/2025/TT-BNNMT</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Đã hoàn thành việc lấy ý kiến đại diện cộng đồng dân cư, tổ chức, cá nhân có liên quan (đối với trường hợp phải lấy ý kiến đại diện cộng đồng dân cư, tổ chức, cá nhân theo quy định tại điểm a, b và điểm c khoản 1 Điều 3 Nghị định số 54/2024/NĐ-CP).
- Việc khai thác tài nguyên nước phù hợp với Quy hoạch về tài nguyên nước; quy hoạch ngành quốc gia, quy hoạch tỉnh, quy hoạch có tính chất kỹ thuật, chuyên ngành có nội dung khai thác, sử dụng tài nguyên nước; khả năng đáp ứng của nguồn nước; 
- Bảo đảm các yêu cầu về bảo vệ, khai thác, sử dụng tài nguyên nước và phòng, chống và khắc phục tác hại do nước gây ra theo quy định của Luật Tài nguyên nước năm 2023;
- Thông tin, số liệu sử dụng để lập đề án phải bảo đảm đầy đủ, chính xác.
- Riêng đối với trường hợp khai thác nước mặt có xây dựng đập, hồ chứa trên sông, suối ngoài các điều kiện quy định ở trên còn phải đáp ứng các điều kiện sau:
+ Việc thiết kế và bố trí tổng thể công trình đầu mối phải có các hạng mục công trình để bảo đảm duy trì dòng chảy tối thiểu theo quy định tại Điều 24 của Luật này, xả nước gia tăng về hạ du khi có yêu cầu của cơ quan có thẩm quyền, sử dụng dung tích chết của hồ chứa trong trường hợp hạn hán, thiếu nước nghiêm trọng, bảo đảm sự di cư của các loài cá, sự đi lại của phương tiện giao thông thủy;
+ Có phương án về thiết bị, nhân lực để quan trắc khí tượng thủy văn, dự báo lượng nước đến hồ, vận hành hồ chứa, quan trắc, giám sát khai thác tài nguyên nước; 
+ Có quy trình vận hành hồ chứa theo quy định của pháp luật về quản lý an toàn đập, hồ chứa nước đối với trường hợp đã có công trình.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2025-11-27T15:47:11Z</dcterms:created>
  <dc:creator>Apache POI</dc:creator>
</cp:coreProperties>
</file>