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2.000038</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2628/QĐ-BTC</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đối với hàng hóa nhập khẩu hoặc hàng hóa xuất khẩu đóng ghép với hàng hóa quá cảnh gửi qua dịch vụ chuyển phát nhanh quốc tế</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Xã</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Hải quan</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Bước 1: Doanh nghiệp kinh doanh dịch vụ chuyển phát nhanh quốc tế chuẩn bị hồ sơ.</w:t>
      </w:r>
    </w:p>
    <w:p>
      <w:pPr>
        <w:spacing w:after="0" w:before="0" w:lineRule="auto" w:line="276"/>
        <w:jc w:val="both"/>
      </w:pPr>
      <w:r>
        <w:rPr>
          <w:rFonts w:ascii="Times New Roman" w:hAnsi="Times New Roman" w:cs="Times New Roman" w:eastAsia="Times New Roman"/>
          <w:b w:val="false"/>
          <w:sz w:val="26"/>
        </w:rPr>
        <w:t>Bước 2: Chi cục Hải quan nơi hàng hóa được vận chuyển đi tiếp nhận và kiểm tra điều kiện đóng ghép theo quy định tại khoản 1 Điều 18 Thông tư 191/2015/TT-BTC:
- Trường hợp không phù hợp: không chấp nhận việc đóng ghép, hoặc hướng dẫn bổ sung;
- Trường hợp phù hợp thì phê duyệt văn bản đề nghị đóng ghép; giám sát việc chia tách, đóng ghép và thực hiện quy định khoản 3 Điều 17 Thông tư 191/2015/TT-BTC. Ghi cùng 01 số hiệu niêm phong hải quan trên Thông báo phê duyệt khai báo vận chuyển, hoặc trên Bản kê hàng hóa (nếu có) của hàng hóa quá cảnh và hàng hóa nhập khẩu hoặc xuất khẩu đóng ghép;
- Ghi cùng 01 số hiệu niêm phong hải quan trên Thông báo phê duyệt khai báo vận chuyển, hoặc trên Bản kê hàng hóa (nếu có) của hàng quá cảnh và hành nhập khẩu hoặc xuất khẩu đóng ghép.</w:t>
      </w:r>
    </w:p>
    <w:p>
      <w:pPr>
        <w:spacing w:after="0" w:before="0" w:lineRule="auto" w:line="276"/>
        <w:jc w:val="both"/>
      </w:pPr>
      <w:r>
        <w:rPr>
          <w:rFonts w:ascii="Times New Roman" w:hAnsi="Times New Roman" w:cs="Times New Roman" w:eastAsia="Times New Roman"/>
          <w:b w:val="false"/>
          <w:sz w:val="26"/>
        </w:rPr>
        <w:t>Bước 3: Chi cục Hải quan nơi hàng đến thực hiện đối chiếu tình trạng niêm phong; cập nhật thông tin hàng hóa đến vào Hệ thống. Phản hồi thông tin đến Chi cục Hải quan nơi đăng ký tờ khai vận chuyển độc lập. Lưu trữ Hồ sơ theo quy định; kiểm tra tờ khai vận chuyển độc lập được ghi tại tiêu chí “Ghi chú 2” trên tờ khai vận chuyển độc lập đóng ghép để xác nhận 02 tờ khai trên hệ thống theo quy định.</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 xml:space="preserve">Trong ngày </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ngày</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Văn bản đề nghị đóng ghép hàng xuất khẩu hoặc nhập khẩu với hàng quá cảnh</w:t>
            </w:r>
          </w:p>
        </w:tc>
        <w:tc>
          <w:p/>
        </w:tc>
        <w:tc>
          <w:p/>
          <w:p>
            <w:pPr>
              <w:spacing w:after="0" w:before="0" w:lineRule="auto" w:line="276"/>
              <w:jc w:val="left"/>
            </w:pPr>
            <w:r>
              <w:rPr>
                <w:rFonts w:ascii="Times New Roman" w:hAnsi="Times New Roman" w:cs="Times New Roman" w:eastAsia="Times New Roman"/>
                <w:b w:val="false"/>
                <w:sz w:val="26"/>
              </w:rPr>
              <w:t xml:space="preserve">Bản chính: </w:t>
              <w:t>2</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Trường hợp được cơ quan Hải quan chấp nhận, khai báo tờ khai vận chuyển độc lập theo quy định tại Điều 17 Thông tư 191/2015/TT-BTC thì thực hiện:  + Trường hợp hàng hóa quá cảnh đóng ghép với hàng hóa xuất khẩu và thực xuất tại cùng cửa khẩu, khai trên 01 tờ khai vận chuyển độc lập;  + Trường hợp hàng hóa quá cảnh đóng ghép với hàng hóa nhập khẩu, khai trên 02 tờ khai vận chuyển độc lập. Khi hàng hóa quá cảnh đến điểm đích, người khai hải quan khai tiếp tờ khai vận chuyển độc lập để vận chuyển hàng hóa ra cửa khẩu xuất.</w:t>
            </w:r>
          </w:p>
        </w:tc>
        <w:tc>
          <w:p/>
          <w:p>
            <w:pPr>
              <w:spacing w:after="0" w:before="0" w:lineRule="auto" w:line="276"/>
              <w:jc w:val="left"/>
            </w:pPr>
            <w:r>
              <w:rPr>
                <w:rFonts w:ascii="Times New Roman" w:hAnsi="Times New Roman" w:cs="Times New Roman" w:eastAsia="Times New Roman"/>
                <w:b w:val="false"/>
                <w:sz w:val="26"/>
              </w:rPr>
              <w:t>Chi tieu thong tin khai hai quan.doc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Chi cục Hải quan</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Chi cục Hải quan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Chi cục Hải quan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Tờ khai nhập khẩu đã hoàn thành thủ tục hải quan</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54/2014/QH13</w:t>
            </w:r>
          </w:p>
        </w:tc>
        <w:tc>
          <w:p/>
          <w:p>
            <w:pPr>
              <w:spacing w:after="0" w:before="0" w:lineRule="auto" w:line="276"/>
              <w:jc w:val="left"/>
            </w:pPr>
            <w:r>
              <w:rPr>
                <w:rFonts w:ascii="Times New Roman" w:hAnsi="Times New Roman" w:cs="Times New Roman" w:eastAsia="Times New Roman"/>
                <w:b w:val="false"/>
                <w:sz w:val="26"/>
              </w:rPr>
              <w:t>Luật 54/2014/QH13</w:t>
            </w:r>
          </w:p>
        </w:tc>
        <w:tc>
          <w:p/>
          <w:p>
            <w:pPr>
              <w:spacing w:after="0" w:before="0" w:lineRule="auto" w:line="276"/>
              <w:jc w:val="left"/>
            </w:pPr>
            <w:r>
              <w:rPr>
                <w:rFonts w:ascii="Times New Roman" w:hAnsi="Times New Roman" w:cs="Times New Roman" w:eastAsia="Times New Roman"/>
                <w:b w:val="false"/>
                <w:sz w:val="26"/>
              </w:rPr>
              <w:t>23-06-2014</w:t>
            </w:r>
          </w:p>
        </w:tc>
        <w:tc>
          <w:p/>
          <w:p>
            <w:pPr>
              <w:spacing w:after="0" w:before="0" w:lineRule="auto" w:line="276"/>
              <w:jc w:val="left"/>
            </w:pPr>
            <w:r>
              <w:rPr>
                <w:rFonts w:ascii="Times New Roman" w:hAnsi="Times New Roman" w:cs="Times New Roman" w:eastAsia="Times New Roman"/>
                <w:b w:val="false"/>
                <w:sz w:val="26"/>
              </w:rPr>
              <w:t>Bộ Tài chính</w:t>
            </w:r>
          </w:p>
        </w:tc>
      </w:tr>
      <w:tr>
        <w:tc>
          <w:p/>
          <w:p>
            <w:pPr>
              <w:spacing w:after="0" w:before="0" w:lineRule="auto" w:line="276"/>
              <w:jc w:val="left"/>
            </w:pPr>
            <w:r>
              <w:rPr>
                <w:rFonts w:ascii="Times New Roman" w:hAnsi="Times New Roman" w:cs="Times New Roman" w:eastAsia="Times New Roman"/>
                <w:b w:val="false"/>
                <w:sz w:val="26"/>
              </w:rPr>
              <w:t>08/2015/NĐ-CP</w:t>
            </w:r>
          </w:p>
        </w:tc>
        <w:tc>
          <w:p/>
          <w:p>
            <w:pPr>
              <w:spacing w:after="0" w:before="0" w:lineRule="auto" w:line="276"/>
              <w:jc w:val="left"/>
            </w:pPr>
            <w:r>
              <w:rPr>
                <w:rFonts w:ascii="Times New Roman" w:hAnsi="Times New Roman" w:cs="Times New Roman" w:eastAsia="Times New Roman"/>
                <w:b w:val="false"/>
                <w:sz w:val="26"/>
              </w:rPr>
              <w:t>Nghị định 08/2015/NĐ-CP</w:t>
            </w:r>
          </w:p>
        </w:tc>
        <w:tc>
          <w:p/>
          <w:p>
            <w:pPr>
              <w:spacing w:after="0" w:before="0" w:lineRule="auto" w:line="276"/>
              <w:jc w:val="left"/>
            </w:pPr>
            <w:r>
              <w:rPr>
                <w:rFonts w:ascii="Times New Roman" w:hAnsi="Times New Roman" w:cs="Times New Roman" w:eastAsia="Times New Roman"/>
                <w:b w:val="false"/>
                <w:sz w:val="26"/>
              </w:rPr>
              <w:t>21-01-2015</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38/2015/TT-BTC</w:t>
            </w:r>
          </w:p>
        </w:tc>
        <w:tc>
          <w:p/>
          <w:p>
            <w:pPr>
              <w:spacing w:after="0" w:before="0" w:lineRule="auto" w:line="276"/>
              <w:jc w:val="left"/>
            </w:pPr>
            <w:r>
              <w:rPr>
                <w:rFonts w:ascii="Times New Roman" w:hAnsi="Times New Roman" w:cs="Times New Roman" w:eastAsia="Times New Roman"/>
                <w:b w:val="false"/>
                <w:sz w:val="26"/>
              </w:rPr>
              <w:t>Thông tư 38/2015/TT-BTC</w:t>
            </w:r>
          </w:p>
        </w:tc>
        <w:tc>
          <w:p/>
          <w:p>
            <w:pPr>
              <w:spacing w:after="0" w:before="0" w:lineRule="auto" w:line="276"/>
              <w:jc w:val="left"/>
            </w:pPr>
            <w:r>
              <w:rPr>
                <w:rFonts w:ascii="Times New Roman" w:hAnsi="Times New Roman" w:cs="Times New Roman" w:eastAsia="Times New Roman"/>
                <w:b w:val="false"/>
                <w:sz w:val="26"/>
              </w:rPr>
              <w:t>25-03-2015</w:t>
            </w:r>
          </w:p>
        </w:tc>
        <w:tc>
          <w:p/>
          <w:p>
            <w:pPr>
              <w:spacing w:after="0" w:before="0" w:lineRule="auto" w:line="276"/>
              <w:jc w:val="left"/>
            </w:pPr>
            <w:r>
              <w:rPr>
                <w:rFonts w:ascii="Times New Roman" w:hAnsi="Times New Roman" w:cs="Times New Roman" w:eastAsia="Times New Roman"/>
                <w:b w:val="false"/>
                <w:sz w:val="26"/>
              </w:rPr>
              <w:t>Bộ Tài chính</w:t>
            </w:r>
          </w:p>
        </w:tc>
      </w:tr>
      <w:tr>
        <w:tc>
          <w:p/>
          <w:p>
            <w:pPr>
              <w:spacing w:after="0" w:before="0" w:lineRule="auto" w:line="276"/>
              <w:jc w:val="left"/>
            </w:pPr>
            <w:r>
              <w:rPr>
                <w:rFonts w:ascii="Times New Roman" w:hAnsi="Times New Roman" w:cs="Times New Roman" w:eastAsia="Times New Roman"/>
                <w:b w:val="false"/>
                <w:sz w:val="26"/>
              </w:rPr>
              <w:t>187/2013/NĐ-CP</w:t>
            </w:r>
          </w:p>
        </w:tc>
        <w:tc>
          <w:p/>
          <w:p>
            <w:pPr>
              <w:spacing w:after="0" w:before="0" w:lineRule="auto" w:line="276"/>
              <w:jc w:val="left"/>
            </w:pPr>
            <w:r>
              <w:rPr>
                <w:rFonts w:ascii="Times New Roman" w:hAnsi="Times New Roman" w:cs="Times New Roman" w:eastAsia="Times New Roman"/>
                <w:b w:val="false"/>
                <w:sz w:val="26"/>
              </w:rPr>
              <w:t>Nghị định 20187/2013/NĐ-CP11/2013</w:t>
            </w:r>
          </w:p>
        </w:tc>
        <w:tc>
          <w:p/>
          <w:p>
            <w:pPr>
              <w:spacing w:after="0" w:before="0" w:lineRule="auto" w:line="276"/>
              <w:jc w:val="left"/>
            </w:pPr>
            <w:r>
              <w:rPr>
                <w:rFonts w:ascii="Times New Roman" w:hAnsi="Times New Roman" w:cs="Times New Roman" w:eastAsia="Times New Roman"/>
                <w:b w:val="false"/>
                <w:sz w:val="26"/>
              </w:rPr>
              <w:t>20-11-2013</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191/2015/TT-BTC</w:t>
            </w:r>
          </w:p>
        </w:tc>
        <w:tc>
          <w:p/>
          <w:p>
            <w:pPr>
              <w:spacing w:after="0" w:before="0" w:lineRule="auto" w:line="276"/>
              <w:jc w:val="left"/>
            </w:pPr>
            <w:r>
              <w:rPr>
                <w:rFonts w:ascii="Times New Roman" w:hAnsi="Times New Roman" w:cs="Times New Roman" w:eastAsia="Times New Roman"/>
                <w:b w:val="false"/>
                <w:sz w:val="26"/>
              </w:rPr>
              <w:t>Thông tư 191/2015/TT-BTC</w:t>
            </w:r>
          </w:p>
        </w:tc>
        <w:tc>
          <w:p/>
          <w:p>
            <w:pPr>
              <w:spacing w:after="0" w:before="0" w:lineRule="auto" w:line="276"/>
              <w:jc w:val="left"/>
            </w:pPr>
            <w:r>
              <w:rPr>
                <w:rFonts w:ascii="Times New Roman" w:hAnsi="Times New Roman" w:cs="Times New Roman" w:eastAsia="Times New Roman"/>
                <w:b w:val="false"/>
                <w:sz w:val="26"/>
              </w:rPr>
              <w:t>24-11-2015</w:t>
            </w:r>
          </w:p>
        </w:tc>
        <w:tc>
          <w:p/>
          <w:p>
            <w:pPr>
              <w:spacing w:after="0" w:before="0" w:lineRule="auto" w:line="276"/>
              <w:jc w:val="left"/>
            </w:pPr>
            <w:r>
              <w:rPr>
                <w:rFonts w:ascii="Times New Roman" w:hAnsi="Times New Roman" w:cs="Times New Roman" w:eastAsia="Times New Roman"/>
                <w:b w:val="false"/>
                <w:sz w:val="26"/>
              </w:rPr>
              <w:t>Bộ Tài chính</w:t>
            </w:r>
          </w:p>
        </w:tc>
      </w:tr>
      <w:tr>
        <w:tc>
          <w:p/>
          <w:p>
            <w:pPr>
              <w:spacing w:after="0" w:before="0" w:lineRule="auto" w:line="276"/>
              <w:jc w:val="left"/>
            </w:pPr>
            <w:r>
              <w:rPr>
                <w:rFonts w:ascii="Times New Roman" w:hAnsi="Times New Roman" w:cs="Times New Roman" w:eastAsia="Times New Roman"/>
                <w:b w:val="false"/>
                <w:sz w:val="26"/>
              </w:rPr>
              <w:t>49/2010/QH12</w:t>
            </w:r>
          </w:p>
        </w:tc>
        <w:tc>
          <w:p/>
          <w:p>
            <w:pPr>
              <w:spacing w:after="0" w:before="0" w:lineRule="auto" w:line="276"/>
              <w:jc w:val="left"/>
            </w:pPr>
            <w:r>
              <w:rPr>
                <w:rFonts w:ascii="Times New Roman" w:hAnsi="Times New Roman" w:cs="Times New Roman" w:eastAsia="Times New Roman"/>
                <w:b w:val="false"/>
                <w:sz w:val="26"/>
              </w:rPr>
              <w:t>Luật 49/2010/QH12</w:t>
            </w:r>
          </w:p>
        </w:tc>
        <w:tc>
          <w:p/>
          <w:p>
            <w:pPr>
              <w:spacing w:after="0" w:before="0" w:lineRule="auto" w:line="276"/>
              <w:jc w:val="left"/>
            </w:pPr>
            <w:r>
              <w:rPr>
                <w:rFonts w:ascii="Times New Roman" w:hAnsi="Times New Roman" w:cs="Times New Roman" w:eastAsia="Times New Roman"/>
                <w:b w:val="false"/>
                <w:sz w:val="26"/>
              </w:rPr>
              <w:t>17-06-2010</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47/2011/NĐ-CP</w:t>
            </w:r>
          </w:p>
        </w:tc>
        <w:tc>
          <w:p/>
          <w:p>
            <w:pPr>
              <w:spacing w:after="0" w:before="0" w:lineRule="auto" w:line="276"/>
              <w:jc w:val="left"/>
            </w:pPr>
            <w:r>
              <w:rPr>
                <w:rFonts w:ascii="Times New Roman" w:hAnsi="Times New Roman" w:cs="Times New Roman" w:eastAsia="Times New Roman"/>
                <w:b w:val="false"/>
                <w:sz w:val="26"/>
              </w:rPr>
              <w:t>Nghị định 47/2011/NĐ-CP</w:t>
            </w:r>
          </w:p>
        </w:tc>
        <w:tc>
          <w:p/>
          <w:p>
            <w:pPr>
              <w:spacing w:after="0" w:before="0" w:lineRule="auto" w:line="276"/>
              <w:jc w:val="left"/>
            </w:pPr>
            <w:r>
              <w:rPr>
                <w:rFonts w:ascii="Times New Roman" w:hAnsi="Times New Roman" w:cs="Times New Roman" w:eastAsia="Times New Roman"/>
                <w:b w:val="false"/>
                <w:sz w:val="26"/>
              </w:rPr>
              <w:t>17-06-2011</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 Phải được đóng gói riêng biệt (kiện, thùng, bao bì...) để phân biệt hàng hóa quá cảnh đóng ghép với hàng hóa nhập khẩu; và hàng hóa quá cảnh đóng ghép với hàng hóa xuất khẩu trong trường hợp hàng đóng ghép được chia tách nhiều lần, đảm bảo công tác giám sát, quản lý của cơ quan hải quan và các cơ quan chức năng liên quan;
+ Hàng hóa quá cảnh qua lãnh thổ Việt Nam; trừ hàng hóa quá cảnh phải có giấy phép quá cảnh theo quy định tại điểm a và điểm b khoản 1 Điều 142 Luật Thương Mại;
+ Phải có cùng điểm xuất phát và cùng điểm đích vận chuyển;
+ Chỉ được đóng ghép chung trong một xe chuyên dụng (cotainer) hoặc một toa xe lửa.</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https://thutuc.dichvucong.gov.vn/p/home/dvc-tthc-thu-tuc-hanh-chinh-chi-tiet.html?ma_thu_tuc=132</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2025-11-27T15:54:44Z</dcterms:created>
  <dc:creator>Apache POI</dc:creator>
</cp:coreProperties>
</file>