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1681</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tái xuất xe ô tô, xe gắn máy đã tạm nhập khẩu miễn thuế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Hải quan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Đối tượng nhập khẩu, tạm nhập khẩu xe ô tô, xe gắn máy không nhằm mục đích thương mại chuẩn bị hồ sơ (thành phần, số lượng hồ sơ quy định tại mục 3 dưới đây).</w:t>
      </w:r>
    </w:p>
    <w:p>
      <w:pPr>
        <w:spacing w:after="0" w:before="0" w:lineRule="auto" w:line="276"/>
        <w:jc w:val="both"/>
      </w:pPr>
      <w:r>
        <w:rPr>
          <w:rFonts w:ascii="Times New Roman" w:hAnsi="Times New Roman" w:cs="Times New Roman" w:eastAsia="Times New Roman"/>
          <w:b w:val="false"/>
          <w:sz w:val="26"/>
        </w:rPr>
        <w:t>Bước 2: Chi cục Hải quan tiếp nhận hồ sơ và kiểm tra hồ sơ (thành phần, số lượng hồ sơ quy định tại mục 3 dưới đây).</w:t>
      </w:r>
    </w:p>
    <w:p>
      <w:pPr>
        <w:spacing w:after="0" w:before="0" w:lineRule="auto" w:line="276"/>
        <w:jc w:val="both"/>
      </w:pPr>
      <w:r>
        <w:rPr>
          <w:rFonts w:ascii="Times New Roman" w:hAnsi="Times New Roman" w:cs="Times New Roman" w:eastAsia="Times New Roman"/>
          <w:b w:val="false"/>
          <w:sz w:val="26"/>
        </w:rPr>
        <w:t>Bước 3: Chi cục Hải quan cửa khẩu thực hiện thủ tục tái xuất khẩu theo quy định.</w:t>
      </w:r>
    </w:p>
    <w:p>
      <w:pPr>
        <w:spacing w:after="0" w:before="0" w:lineRule="auto" w:line="276"/>
        <w:jc w:val="both"/>
      </w:pPr>
      <w:r>
        <w:rPr>
          <w:rFonts w:ascii="Times New Roman" w:hAnsi="Times New Roman" w:cs="Times New Roman" w:eastAsia="Times New Roman"/>
          <w:b w:val="false"/>
          <w:sz w:val="26"/>
        </w:rPr>
        <w:t xml:space="preserve"> Bước 4: Chi cục Hải quan nơi làm thủ tục tái xuất khẩu xe có văn bản thông báo và sao gửi tờ khai tái xuất xe đã hoàn thành thủ tục hải quan cho Cục Hải quan tỉnh, thành phố nơi cấp giấy phép tạm nhập khẩu để thực hiện thanh khoản giấy phép tạm nhập khẩu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Theo quy định tại Điều 18 Luật Hải quan:  + Tiếp nhận, đăng ký, kiểm tra hồ sơ hải quan ngay sau khi người khai hải quan nộp, xuất trình;  + Hoàn thành kiểm tra hồ sơ chậm nhất là 02 giờ làm việc kể từ thời điểm cơ quan hải quan tiếp nhận đầy đủ hồ sơ hải quan;  + Hoàn thành kiểm tra thực tế hàng hóa chậm nhất là 08 giờ làm việc kể từ thời điểm người khai hải quan xuất trình đầy đủ hàng hóa cho cơ quan hải quan, trường hợp được gia hạn thì thời gian tối đa không quá 02 ngày. </w:t>
            </w:r>
          </w:p>
        </w:tc>
        <w:tc>
          <w:p/>
          <w:p>
            <w:pPr>
              <w:spacing w:after="0" w:before="0" w:lineRule="auto" w:line="276"/>
              <w:jc w:val="left"/>
            </w:pPr>
            <w:r>
              <w:rPr>
                <w:rFonts w:ascii="Times New Roman" w:hAnsi="Times New Roman" w:cs="Times New Roman" w:eastAsia="Times New Roman"/>
                <w:b w:val="false"/>
                <w:sz w:val="26"/>
              </w:rPr>
              <w:t>Lệ phí : 200.000 Đồng</w:t>
              <w:t xml:space="preserve"> (20.000 đ / tờ khai theo quy định tại Thông tư số 172/2010/TT-BTC ngày 02/11/2010 của BTC)</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tái xuất khẩu: 01 bản chính có xác nhận của cơ quan chủ quản;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khai hàng hóa tạm nhập khẩu xe có “đóng dấu dùng cho tái xuất hoặc chuyển nhượng”: 01 bản chụp có xác nhận của Chi cục Hải quan làm thủ tục tạm nhập (đối với trường hợp tạm nhập khẩu xe thực hiện khai trên tờ khai hải quan giấy và cơ quan Hải quan chưa tra cứu được tờ khai tạm nhập khẩu trên hệ thống).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thu hồi đăng ký, biển số xe ô tô, xe gắn máy do cơ quan Công an cấp: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khai hàng hóa xuất khẩu theo các chỉ tiêu thông tin tại Mẫu số 02 - Tờ khai hàng hóa xuất khẩu Phụ lục I ban hành kèm theo Thông tư số 39/2018/TT-BTC ngày 20 tháng 4 năm 2018 của Bộ trưởng Bộ Tài chính. Trường hợp thực hiện trên tờ khai hải quan giấy theo quy định tại khoản 12 Điều 1 Nghị định số 59/2018/NĐ-CP ngày 20 tháng 4 năm 2018 của Chính phủ, người khai hải quan khai và nộp 03 bản chính tờ khai hải quan theo mẫu HQ/2015/XK Phụ lục IV ban hành kèm Thông tư số 38/2015/TT-BTC ngày 25 tháng 3 năm 2015 của Bộ trưởng Bộ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Tờ khai hải quan tái xuất khẩu đã hoàn thành thủ tục hải quan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54/2014/QH13</w:t>
            </w:r>
          </w:p>
        </w:tc>
        <w:tc>
          <w:p/>
          <w:p>
            <w:pPr>
              <w:spacing w:after="0" w:before="0" w:lineRule="auto" w:line="276"/>
              <w:jc w:val="left"/>
            </w:pPr>
            <w:r>
              <w:rPr>
                <w:rFonts w:ascii="Times New Roman" w:hAnsi="Times New Roman" w:cs="Times New Roman" w:eastAsia="Times New Roman"/>
                <w:b w:val="false"/>
                <w:sz w:val="26"/>
              </w:rPr>
              <w:t>Luật 54/2014/QH13</w:t>
            </w:r>
          </w:p>
        </w:tc>
        <w:tc>
          <w:p/>
          <w:p>
            <w:pPr>
              <w:spacing w:after="0" w:before="0" w:lineRule="auto" w:line="276"/>
              <w:jc w:val="left"/>
            </w:pPr>
            <w:r>
              <w:rPr>
                <w:rFonts w:ascii="Times New Roman" w:hAnsi="Times New Roman" w:cs="Times New Roman" w:eastAsia="Times New Roman"/>
                <w:b w:val="false"/>
                <w:sz w:val="26"/>
              </w:rPr>
              <w:t>23-06-2014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08/2015/NĐ-CP</w:t>
            </w:r>
          </w:p>
        </w:tc>
        <w:tc>
          <w:p/>
          <w:p>
            <w:pPr>
              <w:spacing w:after="0" w:before="0" w:lineRule="auto" w:line="276"/>
              <w:jc w:val="left"/>
            </w:pPr>
            <w:r>
              <w:rPr>
                <w:rFonts w:ascii="Times New Roman" w:hAnsi="Times New Roman" w:cs="Times New Roman" w:eastAsia="Times New Roman"/>
                <w:b w:val="false"/>
                <w:sz w:val="26"/>
              </w:rPr>
              <w:t>Nghị định 08/2015/NĐ-CP</w:t>
            </w:r>
          </w:p>
        </w:tc>
        <w:tc>
          <w:p/>
          <w:p>
            <w:pPr>
              <w:spacing w:after="0" w:before="0" w:lineRule="auto" w:line="276"/>
              <w:jc w:val="left"/>
            </w:pPr>
            <w:r>
              <w:rPr>
                <w:rFonts w:ascii="Times New Roman" w:hAnsi="Times New Roman" w:cs="Times New Roman" w:eastAsia="Times New Roman"/>
                <w:b w:val="false"/>
                <w:sz w:val="26"/>
              </w:rPr>
              <w:t>21-01-2015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38/2015/TT-BTC</w:t>
            </w:r>
          </w:p>
        </w:tc>
        <w:tc>
          <w:p/>
          <w:p>
            <w:pPr>
              <w:spacing w:after="0" w:before="0" w:lineRule="auto" w:line="276"/>
              <w:jc w:val="left"/>
            </w:pPr>
            <w:r>
              <w:rPr>
                <w:rFonts w:ascii="Times New Roman" w:hAnsi="Times New Roman" w:cs="Times New Roman" w:eastAsia="Times New Roman"/>
                <w:b w:val="false"/>
                <w:sz w:val="26"/>
              </w:rPr>
              <w:t>Thông tư 38/2015/TT-BTC</w:t>
            </w:r>
          </w:p>
        </w:tc>
        <w:tc>
          <w:p/>
          <w:p>
            <w:pPr>
              <w:spacing w:after="0" w:before="0" w:lineRule="auto" w:line="276"/>
              <w:jc w:val="left"/>
            </w:pPr>
            <w:r>
              <w:rPr>
                <w:rFonts w:ascii="Times New Roman" w:hAnsi="Times New Roman" w:cs="Times New Roman" w:eastAsia="Times New Roman"/>
                <w:b w:val="false"/>
                <w:sz w:val="26"/>
              </w:rPr>
              <w:t>25-03-2015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187/2013/NĐ-CP</w:t>
            </w:r>
          </w:p>
        </w:tc>
        <w:tc>
          <w:p/>
          <w:p>
            <w:pPr>
              <w:spacing w:after="0" w:before="0" w:lineRule="auto" w:line="276"/>
              <w:jc w:val="left"/>
            </w:pPr>
            <w:r>
              <w:rPr>
                <w:rFonts w:ascii="Times New Roman" w:hAnsi="Times New Roman" w:cs="Times New Roman" w:eastAsia="Times New Roman"/>
                <w:b w:val="false"/>
                <w:sz w:val="26"/>
              </w:rPr>
              <w:t>Nghị định 20187/2013/NĐ-CP11/2013</w:t>
            </w:r>
          </w:p>
        </w:tc>
        <w:tc>
          <w:p/>
          <w:p>
            <w:pPr>
              <w:spacing w:after="0" w:before="0" w:lineRule="auto" w:line="276"/>
              <w:jc w:val="left"/>
            </w:pPr>
            <w:r>
              <w:rPr>
                <w:rFonts w:ascii="Times New Roman" w:hAnsi="Times New Roman" w:cs="Times New Roman" w:eastAsia="Times New Roman"/>
                <w:b w:val="false"/>
                <w:sz w:val="26"/>
              </w:rPr>
              <w:t>20-11-2013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143/2015/TT-BTC</w:t>
            </w:r>
          </w:p>
        </w:tc>
        <w:tc>
          <w:p/>
          <w:p>
            <w:pPr>
              <w:spacing w:after="0" w:before="0" w:lineRule="auto" w:line="276"/>
              <w:jc w:val="left"/>
            </w:pPr>
            <w:r>
              <w:rPr>
                <w:rFonts w:ascii="Times New Roman" w:hAnsi="Times New Roman" w:cs="Times New Roman" w:eastAsia="Times New Roman"/>
                <w:b w:val="false"/>
                <w:sz w:val="26"/>
              </w:rPr>
              <w:t>Thông tư 143/2015/TT-BTC</w:t>
            </w:r>
          </w:p>
        </w:tc>
        <w:tc>
          <w:p/>
          <w:p>
            <w:pPr>
              <w:spacing w:after="0" w:before="0" w:lineRule="auto" w:line="276"/>
              <w:jc w:val="left"/>
            </w:pPr>
            <w:r>
              <w:rPr>
                <w:rFonts w:ascii="Times New Roman" w:hAnsi="Times New Roman" w:cs="Times New Roman" w:eastAsia="Times New Roman"/>
                <w:b w:val="false"/>
                <w:sz w:val="26"/>
              </w:rPr>
              <w:t>11-09-2015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45/2022/TT-BTC</w:t>
            </w:r>
          </w:p>
        </w:tc>
        <w:tc>
          <w:p/>
          <w:p>
            <w:pPr>
              <w:spacing w:after="0" w:before="0" w:lineRule="auto" w:line="276"/>
              <w:jc w:val="left"/>
            </w:pPr>
            <w:r>
              <w:rPr>
                <w:rFonts w:ascii="Times New Roman" w:hAnsi="Times New Roman" w:cs="Times New Roman" w:eastAsia="Times New Roman"/>
                <w:b w:val="false"/>
                <w:sz w:val="26"/>
              </w:rPr>
              <w:t>Thông tư 45/2022/TT-BTC</w:t>
            </w:r>
          </w:p>
        </w:tc>
        <w:tc>
          <w:p/>
          <w:p>
            <w:pPr>
              <w:spacing w:after="0" w:before="0" w:lineRule="auto" w:line="276"/>
              <w:jc w:val="left"/>
            </w:pPr>
            <w:r>
              <w:rPr>
                <w:rFonts w:ascii="Times New Roman" w:hAnsi="Times New Roman" w:cs="Times New Roman" w:eastAsia="Times New Roman"/>
                <w:b w:val="false"/>
                <w:sz w:val="26"/>
              </w:rPr>
              <w:t>27-07-2022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khai thực hiện thủ tục tái xuất trong thời hạn ít nhất 30 (ba mươi) ngày trước khi kết thúc thời hạn công tác tại Việt Nam theo xác nhận của cơ quan chủ quản.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2025-11-27T15:56:33Z</dcterms:created>
  <dc:creator>Apache POI</dc:creator>
</cp:coreProperties>
</file>