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LPG vào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là 10 năm kể từ ngày cấp mới.</w:t>
      </w:r>
    </w:p>
    <w:p>
      <w:pPr>
        <w:spacing w:after="0" w:before="0" w:lineRule="auto" w:line="276"/>
        <w:jc w:val="both"/>
      </w:pPr>
      <w:r>
        <w:rPr>
          <w:rFonts w:ascii="Times New Roman" w:hAnsi="Times New Roman" w:cs="Times New Roman" w:eastAsia="Times New Roman"/>
          <w:b w:val="false"/>
          <w:sz w:val="26"/>
        </w:rPr>
        <w:t>- Trường hợp thương nhân chưa đủ hồ sơ hợp lệ, cơ quan nhà nước có thẩm quyền có văn bản yêu cầu thương nhân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2025-11-27T16:02:30Z</dcterms:created>
  <dc:creator>Apache POI</dc:creator>
</cp:coreProperties>
</file>