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877/QĐ-BGTVT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Đánh giá, cấp giấy chứng nhận phù hợp cho công ty tàu biển theo Bộ luật quản lý an toàn Quốc tế (Bộ luật ISM)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 Tổ chức, cá nhân hoàn thiện 01 (một) bộ hồ sơ theo quy định và nộp hồ sơ trực tiếp hoặc qua hệ thống bưu chính hoặc qua cổng dịch vụ công trực tuyến hoặc bằng hình thức phù hợp khác đến Trung tâm Chứng nhận hệ thống quản lý chất lượng và an toàn thuộc Cục Đăng kiểm Việt Nam (sau đây gọi là Trung tâm Chứng nhận hệ thống quản lý chất lượng và an toàn).</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Trung tâm Chứng nhận hệ thống quản lý chất lượng và an toàn tiếp nhận hồ sơ, kiểm tra thành phần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và hình thức phù hợp khác); nếu hồ sơ đầy đủ thì trong thời hạn không quá 07 (bảy) ngày làm việc thống nhất thời gian đánh giá tại địa điểm do người nộp hồ sơ yêu cầu.
- Sau khi tiến hành đánh giá hệ thống quản lý an toàn tại công ty tàu biển, nếu kết quả đạt yêu cầu, thì Trung tâm Chứng nhận hệ thống quản lý chất lượng và an toàn cấp hoặc xác nhận hiệu lực Giấy chứng nhận phù hợp (DOC) theo quy định của Bộ luật ISM trong thời hạn 01 (một) ngày làm việc, kể từ ngày hoàn thành đánh giá; nếu không đạt thì thông báo bằng văn bản cho tổ chức, cá nhân.
- Tổ chức, cá nhân nhận kết quả trực tiếp tại Trung tâm Chứng nhận hệ thống quản lý chất lượng và an toàn hoặc qua hệ thống bưu chính hoặc cổng dịch vụ công trực tuyến hoặc hình thức phù hợp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 đồng/01 giấy chứng nhận)</w:t>
            </w:r>
          </w:p>
        </w:tc>
        <w:tc>
          <w:p/>
          <w:p>
            <w:pPr>
              <w:spacing w:after="0" w:before="0" w:lineRule="auto" w:line="276"/>
              <w:jc w:val="left"/>
            </w:pPr>
            <w:r>
              <w:rPr>
                <w:rFonts w:ascii="Times New Roman" w:hAnsi="Times New Roman" w:cs="Times New Roman" w:eastAsia="Times New Roman"/>
                <w:b w:val="false"/>
                <w:sz w:val="26"/>
              </w:rPr>
              <w:t>Trong thời hạn 01 ngày làm việc, kể từ khi hoàn thành đánh giá.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 đồng/01 giấy chứng nhận)</w:t>
            </w:r>
          </w:p>
        </w:tc>
        <w:tc>
          <w:p/>
          <w:p>
            <w:pPr>
              <w:spacing w:after="0" w:before="0" w:lineRule="auto" w:line="276"/>
              <w:jc w:val="left"/>
            </w:pPr>
            <w:r>
              <w:rPr>
                <w:rFonts w:ascii="Times New Roman" w:hAnsi="Times New Roman" w:cs="Times New Roman" w:eastAsia="Times New Roman"/>
                <w:b w:val="false"/>
                <w:sz w:val="26"/>
              </w:rPr>
              <w:t>Trong thời hạn 01 ngày làm việc, kể từ khi hoàn thành đánh giá.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 đồng/01 giấy chứng nhận)</w:t>
            </w:r>
          </w:p>
        </w:tc>
        <w:tc>
          <w:p/>
          <w:p>
            <w:pPr>
              <w:spacing w:after="0" w:before="0" w:lineRule="auto" w:line="276"/>
              <w:jc w:val="left"/>
            </w:pPr>
            <w:r>
              <w:rPr>
                <w:rFonts w:ascii="Times New Roman" w:hAnsi="Times New Roman" w:cs="Times New Roman" w:eastAsia="Times New Roman"/>
                <w:b w:val="false"/>
                <w:sz w:val="26"/>
              </w:rPr>
              <w:t>Trong thời hạn 01 ngày làm việc, kể từ khi hoàn thành đánh giá.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(một) bản chính hoặc biểu mẫu điện tử giấy đề nghị theo mẫu;</w:t>
            </w:r>
          </w:p>
        </w:tc>
        <w:tc>
          <w:p/>
          <w:p>
            <w:pPr>
              <w:spacing w:after="0" w:before="0" w:lineRule="auto" w:line="276"/>
              <w:jc w:val="left"/>
            </w:pPr>
            <w:r>
              <w:rPr>
                <w:rFonts w:ascii="Times New Roman" w:hAnsi="Times New Roman" w:cs="Times New Roman" w:eastAsia="Times New Roman"/>
                <w:b w:val="false"/>
                <w:sz w:val="26"/>
              </w:rPr>
              <w:t>MẪU ĐỀ NGHỊ.docx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(một) bản sao tài liệu hệ thống quản lý an toàn của công ty tàu biển (trường hợp nộp hồ sơ trực tiếp hoặc qua hệ thống bưu chính) hoặc bản sao điện tử (trường hợp nộp hồ sơ qua cổng dịch vụ công trực tuyến) đối với trường hợp đánh giá sơ bộ hoặc lần đầu;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- 01 (một) bản sao tài liệu chứng minh quyền sở hữu hoặc quản lý, thuê tàu trần và cam kết thực hiện toàn bộ các nghĩa vụ và trách nhiệm theo quy định của Bộ luật ISM nếu công ty không phải là chủ sở hữu tàu biển (trường hợp nộp hồ sơ trực tiếp hoặc qua hệ thống bưu chính) hoặc bản sao điện tử (trường hợp nộp hồ sơ qua cổng dịch vụ công trực tuyến) đối với trường hợp đánh giá sơ bộ hoặc lần đầu.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Chứng nhận hệ thống quản lý chất lượng và an toàn (VRQC)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Trung tâm Chứng nhận hệ thống quản lý chất lượng và an toàn (VRQC)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Chứng nhận hệ thống quản lý chất lượng và an toàn thuộc Cục Đăng kiểm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Cấp hoặc xác nhận hiệu lực Giấy chứng nhận phù hợp (DOC) theo quy định của Bộ luật ISM.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95/2015/QH13</w:t>
            </w:r>
          </w:p>
        </w:tc>
        <w:tc>
          <w:p/>
          <w:p>
            <w:pPr>
              <w:spacing w:after="0" w:before="0" w:lineRule="auto" w:line="276"/>
              <w:jc w:val="left"/>
            </w:pPr>
            <w:r>
              <w:rPr>
                <w:rFonts w:ascii="Times New Roman" w:hAnsi="Times New Roman" w:cs="Times New Roman" w:eastAsia="Times New Roman"/>
                <w:b w:val="false"/>
                <w:sz w:val="26"/>
              </w:rPr>
              <w:t>Hàng hải</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199/2016/TT-BTC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lệ phí cấp giấy chứng nhận bảo đảm chất lượng, an toàn kỹ thuật đối với máy, thiết bị, phương tiện giao thông vận tải có yêu cầu nghiêm ngặt về an toàn</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234/2016/TT-BTC</w:t>
            </w:r>
          </w:p>
        </w:tc>
        <w:tc>
          <w:p/>
          <w:p>
            <w:pPr>
              <w:spacing w:after="0" w:before="0" w:lineRule="auto" w:line="276"/>
              <w:jc w:val="left"/>
            </w:pPr>
            <w:r>
              <w:rPr>
                <w:rFonts w:ascii="Times New Roman" w:hAnsi="Times New Roman" w:cs="Times New Roman" w:eastAsia="Times New Roman"/>
                <w:b w:val="false"/>
                <w:sz w:val="26"/>
              </w:rPr>
              <w:t>Quy định về giá dịch vụ kiểm định an toàn kỹ thuật và chất lượng tàu biến, công trình biến; Sản phẩm công nghiệp lắp đặt trên tàu biển, công trình biển; đánh giá, chứng nhận hệ thống quản lý an toàn và phê duyệt, kiểm tra, đánh giá, chứng nhận lao động hàng hải hải</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40/2016/TT-BGTVT</w:t>
            </w:r>
          </w:p>
        </w:tc>
        <w:tc>
          <w:p/>
          <w:p>
            <w:pPr>
              <w:spacing w:after="0" w:before="0" w:lineRule="auto" w:line="276"/>
              <w:jc w:val="left"/>
            </w:pPr>
            <w:r>
              <w:rPr>
                <w:rFonts w:ascii="Times New Roman" w:hAnsi="Times New Roman" w:cs="Times New Roman" w:eastAsia="Times New Roman"/>
                <w:b w:val="false"/>
                <w:sz w:val="26"/>
              </w:rPr>
              <w:t>Quy định về đăng kiểm tàu biển Việt Nam</w:t>
            </w:r>
          </w:p>
        </w:tc>
        <w:tc>
          <w:p/>
          <w:p>
            <w:pPr>
              <w:spacing w:after="0" w:before="0" w:lineRule="auto" w:line="276"/>
              <w:jc w:val="left"/>
            </w:pPr>
            <w:r>
              <w:rPr>
                <w:rFonts w:ascii="Times New Roman" w:hAnsi="Times New Roman" w:cs="Times New Roman" w:eastAsia="Times New Roman"/>
                <w:b w:val="false"/>
                <w:sz w:val="26"/>
              </w:rPr>
              <w:t>07-12-2016</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17/2023/TT-BGTVT</w:t>
            </w:r>
          </w:p>
        </w:tc>
        <w:tc>
          <w:p/>
          <w:p>
            <w:pPr>
              <w:spacing w:after="0" w:before="0" w:lineRule="auto" w:line="276"/>
              <w:jc w:val="left"/>
            </w:pPr>
            <w:r>
              <w:rPr>
                <w:rFonts w:ascii="Times New Roman" w:hAnsi="Times New Roman" w:cs="Times New Roman" w:eastAsia="Times New Roman"/>
                <w:b w:val="false"/>
                <w:sz w:val="26"/>
              </w:rPr>
              <w:t>Thông tư 17/2023/TT-BGTVT ngày 30/6/2023 của Bộ trưởng Bộ GTVT sửa đổi , bổ sung một số điều của Thông tư 40/2016/TT-BGTVT quy định về đăng kiểm tàu biển Việt Nam và Thông tư 51/2017/TT-BGTVT quy định về đăng kiểm viên và nhân viên nghiệp vụ đăng kiểm tàu biển</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 Hệ thống quản lý an toàn của công ty tàu biển phải thỏa mãn quy định của Quy chuẩn kỹ thuật quốc gia về quản lý an toàn và ngăn ngừa ô nhiễm trong khai thác tàu biển và Bộ luật ISM.</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2025-11-27T16:03:23Z</dcterms:created>
  <dc:creator>Apache POI</dc:creator>
</cp:coreProperties>
</file>