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sản xuất vàng trang sức, mỹ nghệ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có nhu cầu chấm dứt hoạt động sản xuất vàng trang sức, mỹ nghệ nộp hồ sơ theo quy định gửi Ngân hàng Nhà nước chi nhánh Khu vực nơi doanh nghiệp đặt trụ sở chính.
- Bước 2: Trong thời hạn 5 (năm) ngày làm việc kể từ ngày nhận đủ hồ sơ hợp lệ, Giám đốc Ngân hàng Nhà nước chi nhánh Khu vực ra Quyết định thu hồi Giấy chứng nhận đủ điều kiện sản xuất vàng trang sức, mỹ nghệ của doanh nghiệp theo mẫu tại Phụ lục số 19 ban hành kèm Thông tư số 34/2025/TT-NHNN.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việc tự nguyện chấm dứt hoạt động sản xuất vàng trang sức, mỹ nghệ, trong đó nêu rõ lý do.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chính Giấy chứng nhận đủ điều kiện sản xuất vàng trang sức, mỹ nghệ của doanh nghiệp và bản chính các tài liệu là bộ phận không tách rời của Giấy chứng nhận đủ điều kiện hoạt động sản xuất vàng trang sức, mỹ nghệ của doanh nghiệp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chứng nhận đủ điều kiện hoạt động sản xuất vàng trang sức, mỹ nghệ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24/2012/NĐ-CP</w:t>
            </w:r>
          </w:p>
        </w:tc>
        <w:tc>
          <w:p/>
          <w:p>
            <w:pPr>
              <w:spacing w:after="0" w:before="0" w:lineRule="auto" w:line="276"/>
              <w:jc w:val="left"/>
            </w:pPr>
            <w:r>
              <w:rPr>
                <w:rFonts w:ascii="Times New Roman" w:hAnsi="Times New Roman" w:cs="Times New Roman" w:eastAsia="Times New Roman"/>
                <w:b w:val="false"/>
                <w:sz w:val="26"/>
              </w:rPr>
              <w:t>Nghị định 24/2012/NĐ-CP</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2025-11-27T16:03:24Z</dcterms:created>
  <dc:creator>Apache POI</dc:creator>
</cp:coreProperties>
</file>