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đầu tư nhận ủy thác\Cấp vốn\dự án quy hoạch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Sau khi ký hợp đồng uỷ thác quản lý, thanh toán vốn đầu tư hoặc nhận được văn bản (kèm theo hợp đồng uỷ thác đã ký) của NHPT giao nhiệm vụ; Chi nhánh NHPT thực hiện như sau:
Tiếp nhận hồ sơ:
Cán bộ chuyên quản tiếp nhận, kiểm tra tính đầy đủ, hợp pháp, hợp lệ của hồ sơ theo quy định.</w:t>
      </w:r>
    </w:p>
    <w:p>
      <w:pPr>
        <w:spacing w:after="0" w:before="0" w:lineRule="auto" w:line="276"/>
        <w:jc w:val="both"/>
      </w:pPr>
      <w:r>
        <w:rPr>
          <w:rFonts w:ascii="Times New Roman" w:hAnsi="Times New Roman" w:cs="Times New Roman" w:eastAsia="Times New Roman"/>
          <w:b w:val="false"/>
          <w:sz w:val="26"/>
        </w:rPr>
        <w:t>Bước 2.	Sau khi nhận đầy đủ hồ sơ thanh toán hợp pháp, hợp lệ. Cán bộ chuyên quản lập tờ trình thanh toán vốn đầu tư, báo cáo trưởng Phòng nghiệp vụ xem xét, ký trình Lãnh đạo Chi nhánh NHPT.</w:t>
      </w:r>
    </w:p>
    <w:p>
      <w:pPr>
        <w:spacing w:after="0" w:before="0" w:lineRule="auto" w:line="276"/>
        <w:jc w:val="both"/>
      </w:pPr>
      <w:r>
        <w:rPr>
          <w:rFonts w:ascii="Times New Roman" w:hAnsi="Times New Roman" w:cs="Times New Roman" w:eastAsia="Times New Roman"/>
          <w:b w:val="false"/>
          <w:sz w:val="26"/>
        </w:rPr>
        <w:t>Bước 3.	Lãnh đạo Chi nhánh NHPT xem xét, ký duyệt và chuyển sang Phòng Tài chính kế toán để làm thủ tục thanh toán.</w:t>
      </w:r>
    </w:p>
    <w:p>
      <w:pPr>
        <w:spacing w:after="0" w:before="0" w:lineRule="auto" w:line="276"/>
        <w:jc w:val="both"/>
      </w:pPr>
      <w:r>
        <w:rPr>
          <w:rFonts w:ascii="Times New Roman" w:hAnsi="Times New Roman" w:cs="Times New Roman" w:eastAsia="Times New Roman"/>
          <w:b w:val="false"/>
          <w:sz w:val="26"/>
        </w:rPr>
        <w:t>Bước 4.	Phòng Tài chính kế toán thực hiện kiểm soát chứng từ thanh toán, trình duyệt thanh toán, thực hiện thanh toán và luân chuyển chứng từ thanh toán theo quy định của NHPT.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I. Tài liệu cơ sở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phê duyệt đề cương hoặc nhiệm vụ lập dự án quy hoạch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Hợp đồng kinh tế ký giữa Chủ đầu tư với Nhà thầu và các tài liệu đính kèm theo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Kế hoạch vốn hàng năm thông báo cho dự án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 Khi tạm ứng vốn: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tạm ứng vốn uỷ thác (Mẫu số 02/TT-UT) - Bản chính.</w:t>
            </w:r>
          </w:p>
        </w:tc>
        <w:tc>
          <w:p/>
          <w:p>
            <w:pPr>
              <w:spacing w:after="0" w:before="0" w:lineRule="auto" w:line="276"/>
              <w:jc w:val="left"/>
            </w:pPr>
            <w:r>
              <w:rPr>
                <w:rFonts w:ascii="Times New Roman" w:hAnsi="Times New Roman" w:cs="Times New Roman" w:eastAsia="Times New Roman"/>
                <w:b w:val="false"/>
                <w:sz w:val="26"/>
              </w:rPr>
              <w:t>mau so 02TT-UT. Giay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Chứng từ rút vốn theo quy định của NHPT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III. Thanh toán khối lượng hoàn thành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Khi có khối lượng phát sinh ngoài hợp đồng, chủ đầu tư gửi Bảng xác định giá trị khối lượng phát sinh ngoài hợp đồng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Bảng tính giá trị đề nghị thanh toán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Lưu ý: Thanh toán khi dự án quy hoạch được phê duyệt quyết toán: chủ đầu tư gửi đến Chi nhánh NHPT quyết định phê duyệt quyết toán dự án quy hoạch hoàn thành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Khi giao nhận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giao nhận hồ sơ</w:t>
            </w:r>
          </w:p>
        </w:tc>
        <w:tc>
          <w:p/>
          <w:p>
            <w:pPr>
              <w:spacing w:after="0" w:before="0" w:lineRule="auto" w:line="276"/>
              <w:jc w:val="left"/>
            </w:pPr>
            <w:r>
              <w:rPr>
                <w:rFonts w:ascii="Times New Roman" w:hAnsi="Times New Roman" w:cs="Times New Roman" w:eastAsia="Times New Roman"/>
                <w:b w:val="false"/>
                <w:sz w:val="26"/>
              </w:rPr>
              <w:t>Mau bieu 01TT - UT.doc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đầu tư nhận ủy thác\Cấp vốn\dự án quy hoạch,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Quyết định số 661/QĐ-NHPT </w:t>
            </w:r>
          </w:p>
        </w:tc>
        <w:tc>
          <w:p/>
          <w:p>
            <w:pPr>
              <w:spacing w:after="0" w:before="0" w:lineRule="auto" w:line="276"/>
              <w:jc w:val="left"/>
            </w:pPr>
            <w:r>
              <w:rPr>
                <w:rFonts w:ascii="Times New Roman" w:hAnsi="Times New Roman" w:cs="Times New Roman" w:eastAsia="Times New Roman"/>
                <w:b w:val="false"/>
                <w:sz w:val="26"/>
              </w:rPr>
              <w:t>về việc ban hành mức phí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01-01-2008</w:t>
            </w:r>
          </w:p>
        </w:tc>
        <w:tc>
          <w:p/>
        </w:tc>
      </w:tr>
      <w:tr>
        <w:tc>
          <w:p/>
          <w:p>
            <w:pPr>
              <w:spacing w:after="0" w:before="0" w:lineRule="auto" w:line="276"/>
              <w:jc w:val="left"/>
            </w:pPr>
            <w:r>
              <w:rPr>
                <w:rFonts w:ascii="Times New Roman" w:hAnsi="Times New Roman" w:cs="Times New Roman" w:eastAsia="Times New Roman"/>
                <w:b w:val="false"/>
                <w:sz w:val="26"/>
              </w:rPr>
              <w:t>Quyết định số 99/QĐ-NHPT</w:t>
            </w:r>
          </w:p>
        </w:tc>
        <w:tc>
          <w:p/>
          <w:p>
            <w:pPr>
              <w:spacing w:after="0" w:before="0" w:lineRule="auto" w:line="276"/>
              <w:jc w:val="left"/>
            </w:pPr>
            <w:r>
              <w:rPr>
                <w:rFonts w:ascii="Times New Roman" w:hAnsi="Times New Roman" w:cs="Times New Roman" w:eastAsia="Times New Roman"/>
                <w:b w:val="false"/>
                <w:sz w:val="26"/>
              </w:rPr>
              <w:t>về việc ban hành Sổ tay Nghiệp vụ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01-03-2008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quản lý, thanh toán vốn đầu tư nhận uỷ thác được thực hiện theo các quy định tại Hợp đồng uỷ thác quản lý, thanh toán vốn đầu tư ký giữa NHPT (Chi nhánh NHPT) với đơn vị uỷ thác, được bố trí vào kế hoạch đầu tư hàng năm của Đơn vị uỷ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Phí quản lý, thanh toán vốn đầu tư nhận uỷ thác (áp dụng đối với những dự án uỷ thác thanh toán vốn phát sinh sau ngày 23/11/2007 ban hành kèm theo Quyết định số 661/QĐ-NHPT ngày 21/12/2007 của NHPT về việc ban hành mức phí quản lý, thanh toán, cho vay vốn đầu tư nhận ủy thác):
- Mức phí áp dụng: 0,3%/số vốn thanh toán từng lần.
- Kỳ tính phí: hàng quý.
- Giới hạn mức thu: Tối thiểu là 50.000đồng/lần thanh toán, tối đa không quá 5.000.000đồng/lần thanh toán.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2025-11-27T16:18:29Z</dcterms:created>
  <dc:creator>Apache POI</dc:creator>
</cp:coreProperties>
</file>