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sửa đổi, bổ sung nội dung tổ chức hội chợ, triển lãm thương mại tại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tổ chức gửi hồ sơ đăng ký sửa đổi, bổ sung nội dung tổ chức Hội chợ, Triển lãm thương mại tại nước ngoài đến Ủy ban nhân dân cấp tỉnh. Hồ sơ đăng ký sửa đổi, bổ sung nội dung tổ chức hội chợ, triển lãm thương mại phải gửi đến Ủy ban nhân dân cấp tỉnh chậm nhất 30 (ba mươi) ngày trước ngày khai mạc hội chợ, triển lãm thương mại.
- Ủy ban nhân dân cấp tỉnh xác nhận hoặc không xác nhận bằng văn bản việc đăng ký sửa đổi, bổ sung nội dung tổ chức hội chợ, triển lãm thương mại tại nước ngoài. Trong trường hợp không xác nhận phải nêu rõ lý do.
- Việc sửa đổi, bổ sung nội dung tổ chức hội chợ, triển lãm thương mại phải đảm bảo không ảnh hưởng đến quyền lợi của các thương nhân, tổ chức, cá nhân có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Ủy ban nhân dân cấp tỉnh;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thông qua Hệ thống thông tin giải quyết thủ tục hành chính cấp tỉnh.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Ủy ban nhân dân cấp tỉnh;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sửa đổi, bổ sung đăng ký tổ chức hội chợ, triển lãm</w:t>
            </w:r>
          </w:p>
        </w:tc>
        <w:tc>
          <w:p/>
          <w:p>
            <w:pPr>
              <w:spacing w:after="0" w:before="0" w:lineRule="auto" w:line="276"/>
              <w:jc w:val="left"/>
            </w:pPr>
            <w:r>
              <w:rPr>
                <w:rFonts w:ascii="Times New Roman" w:hAnsi="Times New Roman" w:cs="Times New Roman" w:eastAsia="Times New Roman"/>
                <w:b w:val="false"/>
                <w:sz w:val="26"/>
              </w:rPr>
              <w:t>xttmsd.docx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sửa đổi, bổ sung nội dung tổ chức hội chợ, triển lãm thương mại tại nước ngoài, Công văn không xác nhận đăng ký sửa đổi, bổ sung nội dung tổ chức hội chợ, triển lãm thương mại tại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2025-11-27T16:18:48Z</dcterms:created>
  <dc:creator>Apache POI</dc:creator>
</cp:coreProperties>
</file>