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2.000138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2902/QĐ-BCT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hoạt động khuyến mại đối với chương trình khuyến mại mang tính may rủi thực hiện trên địa bàn từ 2 tỉnh, thành phố trực thuộc Trung ương trở lên và chương trình khuyến mại theo các hình thức khác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Xúc tiến thương mại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gửi hồ sơ đăng ký thực hiện chương trình khuyến mại đến Cục Xúc tiến thương mại
- Cục Xúc tiến thương mại xem xét, trả lời xác nhận hoặc không xác nhận việc đăng ký thực hiện chương trình khuyến mại của thương nhân; trong trường hợp không xác nhận phải nêu rõ lý do theo quy định của pháp luật.</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Nộp 01 hồ sơ đăng ký trực tiếp tại trụ sở Cục Xúc tiến thương mại;</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Nộp 01 hồ sơ đăng ký qua Hệ thống thông tin giải quyết thủ tục hành chính Bộ Công Thương.</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Nộp 01 hồ sơ đăng ký qua dịch vụ bưu chính đến Cục Xúc tiến thương mại – 20 Lý Thường Kiệt, Hoàn Kiếm, Hà Nội;</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+ 01 Đăng ký thực hiện chương trình khuyến mại theo mẫu quy định;</w:t>
            </w:r>
          </w:p>
        </w:tc>
        <w:tc>
          <w:p/>
          <w:p>
            <w:pPr>
              <w:spacing w:after="0" w:before="0" w:lineRule="auto" w:line="276"/>
              <w:jc w:val="left"/>
            </w:pPr>
            <w:r>
              <w:rPr>
                <w:rFonts w:ascii="Times New Roman" w:hAnsi="Times New Roman" w:cs="Times New Roman" w:eastAsia="Times New Roman"/>
                <w:b w:val="false"/>
                <w:sz w:val="26"/>
              </w:rPr>
              <w:t>mẫu 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+ 01 Thể lệ chương trình khuyến mại theo mẫu quy định;</w:t>
            </w:r>
          </w:p>
        </w:tc>
        <w:tc>
          <w:p/>
          <w:p>
            <w:pPr>
              <w:spacing w:after="0" w:before="0" w:lineRule="auto" w:line="276"/>
              <w:jc w:val="left"/>
            </w:pPr>
            <w:r>
              <w:rPr>
                <w:rFonts w:ascii="Times New Roman" w:hAnsi="Times New Roman" w:cs="Times New Roman" w:eastAsia="Times New Roman"/>
                <w:b w:val="false"/>
                <w:sz w:val="26"/>
              </w:rPr>
              <w:t>mẫu 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Mẫu bằng chứng xác định trúng thưởng hoặc mô tả chi tiết về bằng chứng xác định trúng thưởng;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Xúc tiến thương mại</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Công văn xác nhận đăng ký hoạt động khuyến mại đối với chương trình khuyến mại mang tính may rủi thực hiện trên địa bàn từ 2 tỉnh, thành phố trực thuộc Trung ương trở lên và chương trình khuyến mại theo các hình thức khác, Công văn không xác nhận đăng ký hoạt động khuyến mại đối với chương trình khuyến mại mang tính may rủi thực hiện trên địa bàn từ 2 tỉnh, thành phố trực thuộc Trung ương trở lên và chương trình khuyến mại theo các hình thức khác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36/2005/QH11</w:t>
            </w:r>
          </w:p>
        </w:tc>
        <w:tc>
          <w:p/>
          <w:p>
            <w:pPr>
              <w:spacing w:after="0" w:before="0" w:lineRule="auto" w:line="276"/>
              <w:jc w:val="left"/>
            </w:pPr>
            <w:r>
              <w:rPr>
                <w:rFonts w:ascii="Times New Roman" w:hAnsi="Times New Roman" w:cs="Times New Roman" w:eastAsia="Times New Roman"/>
                <w:b w:val="false"/>
                <w:sz w:val="26"/>
              </w:rPr>
              <w:t>LUẬT Thương mại</w:t>
            </w:r>
          </w:p>
        </w:tc>
        <w:tc>
          <w:p/>
          <w:p>
            <w:pPr>
              <w:spacing w:after="0" w:before="0" w:lineRule="auto" w:line="276"/>
              <w:jc w:val="left"/>
            </w:pPr>
            <w:r>
              <w:rPr>
                <w:rFonts w:ascii="Times New Roman" w:hAnsi="Times New Roman" w:cs="Times New Roman" w:eastAsia="Times New Roman"/>
                <w:b w:val="false"/>
                <w:sz w:val="26"/>
              </w:rPr>
              <w:t>14-06-2005</w:t>
            </w:r>
          </w:p>
        </w:tc>
        <w:tc>
          <w:p/>
        </w:tc>
      </w:tr>
      <w:tr>
        <w:tc>
          <w:p/>
          <w:p>
            <w:pPr>
              <w:spacing w:after="0" w:before="0" w:lineRule="auto" w:line="276"/>
              <w:jc w:val="left"/>
            </w:pPr>
            <w:r>
              <w:rPr>
                <w:rFonts w:ascii="Times New Roman" w:hAnsi="Times New Roman" w:cs="Times New Roman" w:eastAsia="Times New Roman"/>
                <w:b w:val="false"/>
                <w:sz w:val="26"/>
              </w:rPr>
              <w:t>81/2018/NĐ-CP</w:t>
            </w:r>
          </w:p>
        </w:tc>
        <w:tc>
          <w:p/>
          <w:p>
            <w:pPr>
              <w:spacing w:after="0" w:before="0" w:lineRule="auto" w:line="276"/>
              <w:jc w:val="left"/>
            </w:pPr>
            <w:r>
              <w:rPr>
                <w:rFonts w:ascii="Times New Roman" w:hAnsi="Times New Roman" w:cs="Times New Roman" w:eastAsia="Times New Roman"/>
                <w:b w:val="false"/>
                <w:sz w:val="26"/>
              </w:rPr>
              <w:t>NGHỊ ĐỊNH  QUY ĐỊNH CHI TIẾT LUẬT THƯƠNG MẠI VỀ HOẠT ĐỘNG XÚC TIẾN THƯƠNG MẠI</w:t>
            </w:r>
          </w:p>
        </w:tc>
        <w:tc>
          <w:p/>
          <w:p>
            <w:pPr>
              <w:spacing w:after="0" w:before="0" w:lineRule="auto" w:line="276"/>
              <w:jc w:val="left"/>
            </w:pPr>
            <w:r>
              <w:rPr>
                <w:rFonts w:ascii="Times New Roman" w:hAnsi="Times New Roman" w:cs="Times New Roman" w:eastAsia="Times New Roman"/>
                <w:b w:val="false"/>
                <w:sz w:val="26"/>
              </w:rPr>
              <w:t>21-05-2018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128/2024/NĐ-CP</w:t>
            </w:r>
          </w:p>
        </w:tc>
        <w:tc>
          <w:p/>
          <w:p>
            <w:pPr>
              <w:spacing w:after="0" w:before="0" w:lineRule="auto" w:line="276"/>
              <w:jc w:val="left"/>
            </w:pPr>
            <w:r>
              <w:rPr>
                <w:rFonts w:ascii="Times New Roman" w:hAnsi="Times New Roman" w:cs="Times New Roman" w:eastAsia="Times New Roman"/>
                <w:b w:val="false"/>
                <w:sz w:val="26"/>
              </w:rPr>
              <w:t>Nghị định số 128/2024/NĐ-CP sửa đổi, bổ sung một số điều của Nghị định số 81/2018/NĐ-CP của Chính phủ quy định chi tiết Luật Thương mại về hoạt động xúc tiến thương mại</w:t>
            </w:r>
          </w:p>
        </w:tc>
        <w:tc>
          <w:p/>
          <w:p>
            <w:pPr>
              <w:spacing w:after="0" w:before="0" w:lineRule="auto" w:line="276"/>
              <w:jc w:val="left"/>
            </w:pPr>
            <w:r>
              <w:rPr>
                <w:rFonts w:ascii="Times New Roman" w:hAnsi="Times New Roman" w:cs="Times New Roman" w:eastAsia="Times New Roman"/>
                <w:b w:val="false"/>
                <w:sz w:val="26"/>
              </w:rPr>
              <w:t>10-10-2024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https://thutuc.dichvucong.gov.vn/p/home/dvc-tthc-thu-tuc-hanh-chinh-chi-tiet.html?ma_thu_tuc=499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2025-11-27T16:19:01Z</dcterms:created>
  <dc:creator>Apache POI</dc:creator>
</cp:coreProperties>
</file>