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2.000147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Quyết định chỉ định tổ chức đánh giá sự phù hợp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chất lượng sản phẩm hàng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đánh giá sự phù hợp khi có nhu cầu tham gia hoạt động thử nghiệm, giám định, kiểm định, chứng nhận phục vụ quản lý nhà nước trong lĩnh vực cụ thể lập 01 bộ hồ sơ đăng ký chỉ định, gửi về Ủy ban nhân dân tỉnh, thành phố trực thuộc trung ương (sau đây viết tắt là cơ quan chỉ định)
-  Trong thời hạn 03 ngày làm việc kể từ ngày nhận được hồ sơ đăng ký, nếu hồ sơ không đầy đủ, hợp lệ theo quy định, cơ quan chỉ định thông báo bằng văn bản yêu cầu tổ chức đánh giá sự phù hợp sửa đổi, bổ sung hồ sơ.
- Trong thời hạn 20 ngày kể từ khi nhận được hồ sơ hợp lệ, cơ quan chỉ định tổ chức đánh giá năng lực thực tế tại tổ chức đánh giá sự phù hợp thông qua việc cử chuyên gia hoặc thành lập đoàn đánh giá. Nội dung đánh giá thực tế theo quy định tại Điểm c Khoản 1 Điều 18d Nghị định số 132/2008/NĐ-CP ngày 31 tháng 12 năm 2008 quy định chi tiết thi hành một số điều của Luật Chất lượng sản phẩm, hàng hoá được sửa đổi, bổ sung bởi Nghị định số 74/2018/NĐ-CP ngày 15 tháng 5 năm 2018 của Chính phủ.
Việc đánh giá năng lực thực tế tại tổ chức đánh giá sự phù hợp phải được thông báo bằng văn bản cho tổ chức đánh giá sự phù hợp đã nộp hồ sơ đăng ký biết. Chuyên gia hoặc thành viên đoàn đánh giá năng lực thực tế phải được đào tạo về hệ thống quản lý chất lượng tương ứng với từng loại hình tổ chức đánh giá sự phù hợp đăng ký chỉ định. Kết thúc việc đánh giá, chuyên gia hoặc đoàn đánh giá do cơ quan chỉ định thành lập phải ký biên bản đánh giá thực tế.
Trường hợp, tổ chức đánh giá sự phù hợp phải khắc phục các nội dung quy định trong biên bản đánh giá thực tế, trong thời hạn 30 ngày, tổ chức đánh giá sự phù hợp phải gửi báo cáo kết quả hành động khắc phục về cơ quan chỉ định. Trường hợp các nội dung cần khắc phục phải kéo dài thêm thời hạn thì tổ chức đánh giá sự phù hợp báo cáo với cơ quan chỉ định bằng văn bản và nêu rõ thời hạn chính thức hoàn thành việc khắc phục các nội dung trên.
Trong thời hạn 05 ngày làm việc kể từ ngày nhận được báo cáo kết quả hành động khắc phục theo biên bản đánh giá thực tế, nếu tổ chức đánh giá sự phù hợp đáp ứng yêu cầu theo quy định, cơ quan chỉ định ban hành quyết định chỉ định cho tổ chức đánh giá sự phù hợp theo quy định tại Mẫu số 08 Phụ lục ban hành kèm theo Nghị định số 74/2018/NĐ-CP ngày 15 tháng 5 năm 2018. Tùy thuộc vào năng lực thực tế của tổ chức đánh giá sự phù hợp, cơ quan chỉ định quyết định thời hạn hiệu lực của quyết định chỉ định nhưng không quá 05 năm kể từ ngày ký ban hành.
Trong trường hợp từ chối việc chỉ định, cơ quan chỉ định phải thông báo lý do bằng văn bản cho tổ chức đánh giá sự phù hợp.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nộp hồ sơ trực tiếp, bản sao các chứng chỉ, tài liệu quy định tại Điều 18b Nghị định số 132/2008/NĐ-CP ngày 31 tháng 12 năm 2008 của Chính phủ quy định chi tiết thi hành một số điều Luật chất lượng sản phẩm, hàng hóa được sửa đổi, bổ sung bởi Nghị định số 74/2018/NĐ-CP ngày 15 tháng 5 năm 2018 của Chính phủ chưa được chứng thực thì phải có bản chính để đối chiếu;
2. Trường hợp hồ sơ được gửi qua bưu điện, tổ chức đánh giá sự phù hợp phải nộp bản sao được chứng thực hoặc bản sao y bản chính (có ký tên và đóng dấu của tổ chức) các chứng chỉ, tài liệu quy định tại Điều 18b Nghị định số 132/2008/NĐ-CP ngày 31 tháng 12 năm 2008 của Chính phủ quy định chi tiết thi hành một số điều Luật chất lượng sản phẩm, hàng hóa được sửa đổi, bổ sung bởi Nghị định số 74/2018/NĐ-CP ngày 15 tháng 5 năm 2018 của Chính phủ.
Trong thời hạn 20 ngày kể từ khi nhận được hồ sơ hợp lệ, cơ quan chỉ định tổ chức đánh giá năng lực thực tế tại tổ chức đánh giá sự phù hợp thông qua việc cử chuyên gia hoặc thành lập đoàn đánh giá. 
Trong thời hạn 05 ngày làm việc kể từ ngày nhận được báo cáo kết quả hành động khắc phục theo biên bản đánh giá thực tế, nếu tổ chức đánh giá sự phù hợp đáp ứng yêu cầu theo quy định, cơ quan chỉ định ban hành quyết định chỉ định cho tổ chức đánh giá sự phù hợp theo quy định tại Mẫu số 08 Phụ lục ban hành kèm theo Nghị định số 74/2018/NĐ-CP ngày 15 tháng 5 năm 2018</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nộp hồ sơ trực tiếp, bản sao các chứng chỉ, tài liệu quy định tại Điều 18b Nghị định số 132/2008/NĐ-CP ngày 31 tháng 12 năm 2008 của Chính phủ quy định chi tiết thi hành một số điều Luật chất lượng sản phẩm, hàng hóa được sửa đổi, bổ sung bởi Nghị định số 74/2018/NĐ-CP ngày 15 tháng 5 năm 2018 của Chính phủ chưa được chứng thực thì phải có bản chính để đối chiếu;
2. Trường hợp hồ sơ được gửi qua bưu điện, tổ chức đánh giá sự phù hợp phải nộp bản sao được chứng thực hoặc bản sao y bản chính (có ký tên và đóng dấu của tổ chức) các chứng chỉ, tài liệu quy định tại Điều 18b Nghị định số 132/2008/NĐ-CP ngày 31 tháng 12 năm 2008 của Chính phủ quy định chi tiết thi hành một số điều Luật chất lượng sản phẩm, hàng hóa được sửa đổi, bổ sung bởi Nghị định số 74/2018/NĐ-CP ngày 15 tháng 5 năm 2018 của Chính phủ.
Trong thời hạn 20 ngày kể từ khi nhận được hồ sơ hợp lệ, cơ quan chỉ định tổ chức đánh giá năng lực thực tế tại tổ chức đánh giá sự phù hợp thông qua việc cử chuyên gia hoặc thành lập đoàn đánh giá. 
Trong thời hạn 05 ngày làm việc kể từ ngày nhận được báo cáo kết quả hành động khắc phục theo biên bản đánh giá thực tế, nếu tổ chức đánh giá sự phù hợp đáp ứng yêu cầu theo quy định, cơ quan chỉ định ban hành quyết định chỉ định cho tổ chức đánh giá sự phù hợp theo quy định tại Mẫu số 08 Phụ lục ban hành kèm theo Nghị định số 74/2018/NĐ-CP ngày 15 tháng 5 năm 2018</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đăng ký chỉ định đánh giá sự phù hợp theo quy định tại Mẫu số 04 Phụ lục ban hành kèm theo Nghị định số 74/2018/NĐ-CP ngày 15 tháng 5 năm 2018 của Chính phủ;</w:t>
            </w:r>
          </w:p>
        </w:tc>
        <w:tc>
          <w:p/>
          <w:p>
            <w:pPr>
              <w:spacing w:after="0" w:before="0" w:lineRule="auto" w:line="276"/>
              <w:jc w:val="left"/>
            </w:pPr>
            <w:r>
              <w:rPr>
                <w:rFonts w:ascii="Times New Roman" w:hAnsi="Times New Roman" w:cs="Times New Roman" w:eastAsia="Times New Roman"/>
                <w:b w:val="false"/>
                <w:sz w:val="26"/>
              </w:rPr>
              <w:t>Mus04.docx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sao Giấy chứng nhận đăng ký hoạt động thử nghiệm, giám định, kiểm định, chứng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Danh sách thử nghiệm viên, giám định viên, kiểm định viên, chuyên gia đánh giá theo quy định tại Mẫu số 05 Phụ lục ban hành kèm theo Nghị định số 74/2018/NĐ-CP ngày 15 tháng 5 năm 2018 của Chính phủ có bản sao chứng chỉ đào tạo chuyên môn, nghiệp vụ;</w:t>
            </w:r>
          </w:p>
        </w:tc>
        <w:tc>
          <w:p/>
          <w:p>
            <w:pPr>
              <w:spacing w:after="0" w:before="0" w:lineRule="auto" w:line="276"/>
              <w:jc w:val="left"/>
            </w:pPr>
            <w:r>
              <w:rPr>
                <w:rFonts w:ascii="Times New Roman" w:hAnsi="Times New Roman" w:cs="Times New Roman" w:eastAsia="Times New Roman"/>
                <w:b w:val="false"/>
                <w:sz w:val="26"/>
              </w:rPr>
              <w:t>Mus05.docx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Danh mục tài liệu kỹ thuật, tiêu chuẩn và quy trình, thủ tục thử nghiệm, giám định, kiểm định, chứng nhận tương ứng theo quy định tại Mẫu số 06 Phụ lục ban hành kèm theo Nghị định số 74/2018/NĐ-CP ngày 15 tháng 5 năm 2018 của Chính phủ, có bản sao Quy trình, thủ tục thử nghiệm, giám định, kiểm định, chứng nhận tương ứng với sản phẩm, hàng hóa, quá trình, môi trường đăng ký chỉ định kèm theo;</w:t>
            </w:r>
          </w:p>
        </w:tc>
        <w:tc>
          <w:p/>
          <w:p>
            <w:pPr>
              <w:spacing w:after="0" w:before="0" w:lineRule="auto" w:line="276"/>
              <w:jc w:val="left"/>
            </w:pPr>
            <w:r>
              <w:rPr>
                <w:rFonts w:ascii="Times New Roman" w:hAnsi="Times New Roman" w:cs="Times New Roman" w:eastAsia="Times New Roman"/>
                <w:b w:val="false"/>
                <w:sz w:val="26"/>
              </w:rPr>
              <w:t>Mus06.docx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Danh mục máy móc, thiết bị thử nghiệm đối với lĩnh vực đăng ký chỉ định (đối với tổ chức thử nghiệm, kiểm định) theo quy định tại Mẫu số 07 Phụ lục ban hành kèm theo Nghị định số 74/2018/NĐ-CP ngày 15 tháng 5 năm 2018 của Chính phủ, có bản sao Giấy chứng nhận kiểm định, hiệu chuẩn còn hiệu lực kèm theo;</w:t>
            </w:r>
          </w:p>
        </w:tc>
        <w:tc>
          <w:p/>
          <w:p>
            <w:pPr>
              <w:spacing w:after="0" w:before="0" w:lineRule="auto" w:line="276"/>
              <w:jc w:val="left"/>
            </w:pPr>
            <w:r>
              <w:rPr>
                <w:rFonts w:ascii="Times New Roman" w:hAnsi="Times New Roman" w:cs="Times New Roman" w:eastAsia="Times New Roman"/>
                <w:b w:val="false"/>
                <w:sz w:val="26"/>
              </w:rPr>
              <w:t>Mus07.docx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e) Bản sao Chứng chỉ công nhận năng lực thử nghiệm, giám định, kiểm định, chứng nhận do tổ chức công nhận hợp pháp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 Bản sao kết quả thử nghiệm thành thạo hoặc so sánh liên phòng đối với phương pháp thử của sản phẩm, hàng hóa đăng ký chỉ định (đối với tổ chức thử nghiệm).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các phép thử chưa có điều kiện để thử nghiệm thành thạo hoặc so sánh liên phòng thì phải bổ sung hồ sơ phương pháp thử, xác nhận giá trị sử dụng của phương pháp thử và chất chuẩn để kiểm soát chất lượng thử nghiệm. Trường hợp tổ chức đánh giá sự phù hợp đồng thời nộp hồ sơ đăng ký hoạt động (theo quy định tại Nghị định số 107/2016/NĐ-CP ngày 01 tháng 7 năm 2016 của Chính phủ quy định điều kiện kinh doanh dịch vụ đánh giá sự phù hợp) và hồ sơ đăng ký chỉ định thì tổ chức đánh giá sự phù hợp không phải nộp kèm theo các thành phần hồ sơ quy định tại Điểm b, c, d, đ, e của Khoản 1 Điều 18b Nghị định số 132/2008/NĐ-CP ngày 31 tháng 12 năm 2008 của Chính phủ quy định chi tiết thi hành một số điều Luật chất lượng sản phẩm, hàng hóa được sửa đổi, bổ sung bởi Nghị định số 74/2018/NĐ-CP ngày 15 tháng 5 năm 2018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chỉ định tổ chức đánh giá sự phù hợp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68/2006/QH11</w:t>
            </w:r>
          </w:p>
        </w:tc>
        <w:tc>
          <w:p/>
          <w:p>
            <w:pPr>
              <w:spacing w:after="0" w:before="0" w:lineRule="auto" w:line="276"/>
              <w:jc w:val="left"/>
            </w:pPr>
            <w:r>
              <w:rPr>
                <w:rFonts w:ascii="Times New Roman" w:hAnsi="Times New Roman" w:cs="Times New Roman" w:eastAsia="Times New Roman"/>
                <w:b w:val="false"/>
                <w:sz w:val="26"/>
              </w:rPr>
              <w:t>Luật 68/2006/QH11 - Tiêu chuẩn và quy chuẩn kỹ thuật</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127/2007/NĐ-CP</w:t>
            </w:r>
          </w:p>
        </w:tc>
        <w:tc>
          <w:p/>
          <w:p>
            <w:pPr>
              <w:spacing w:after="0" w:before="0" w:lineRule="auto" w:line="276"/>
              <w:jc w:val="left"/>
            </w:pPr>
            <w:r>
              <w:rPr>
                <w:rFonts w:ascii="Times New Roman" w:hAnsi="Times New Roman" w:cs="Times New Roman" w:eastAsia="Times New Roman"/>
                <w:b w:val="false"/>
                <w:sz w:val="26"/>
              </w:rPr>
              <w:t>Nghị định 127/2007/NĐ-CP - Quy định chi tiết thi hành một số điều của Luật Tiêu chuẩn và Quy chuẩn kỹ thuật</w:t>
            </w:r>
          </w:p>
        </w:tc>
        <w:tc>
          <w:p/>
          <w:p>
            <w:pPr>
              <w:spacing w:after="0" w:before="0" w:lineRule="auto" w:line="276"/>
              <w:jc w:val="left"/>
            </w:pPr>
            <w:r>
              <w:rPr>
                <w:rFonts w:ascii="Times New Roman" w:hAnsi="Times New Roman" w:cs="Times New Roman" w:eastAsia="Times New Roman"/>
                <w:b w:val="false"/>
                <w:sz w:val="26"/>
              </w:rPr>
              <w:t>01-08-2007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05/2007/QH12</w:t>
            </w:r>
          </w:p>
        </w:tc>
        <w:tc>
          <w:p/>
          <w:p>
            <w:pPr>
              <w:spacing w:after="0" w:before="0" w:lineRule="auto" w:line="276"/>
              <w:jc w:val="left"/>
            </w:pPr>
            <w:r>
              <w:rPr>
                <w:rFonts w:ascii="Times New Roman" w:hAnsi="Times New Roman" w:cs="Times New Roman" w:eastAsia="Times New Roman"/>
                <w:b w:val="false"/>
                <w:sz w:val="26"/>
              </w:rPr>
              <w:t>Luật Chất lượng sản phẩm, hàng hoá</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132/2008/NĐ-CP</w:t>
            </w:r>
          </w:p>
        </w:tc>
        <w:tc>
          <w:p/>
          <w:p>
            <w:pPr>
              <w:spacing w:after="0" w:before="0" w:lineRule="auto" w:line="276"/>
              <w:jc w:val="left"/>
            </w:pPr>
            <w:r>
              <w:rPr>
                <w:rFonts w:ascii="Times New Roman" w:hAnsi="Times New Roman" w:cs="Times New Roman" w:eastAsia="Times New Roman"/>
                <w:b w:val="false"/>
                <w:sz w:val="26"/>
              </w:rPr>
              <w:t>Nghị định 132/2008/NĐ-CP - Quy định chi tiết thi hành một số điều của Luật chất lượng sản phẩm, hàng hóa</w:t>
            </w:r>
          </w:p>
        </w:tc>
        <w:tc>
          <w:p/>
          <w:p>
            <w:pPr>
              <w:spacing w:after="0" w:before="0" w:lineRule="auto" w:line="276"/>
              <w:jc w:val="left"/>
            </w:pPr>
            <w:r>
              <w:rPr>
                <w:rFonts w:ascii="Times New Roman" w:hAnsi="Times New Roman" w:cs="Times New Roman" w:eastAsia="Times New Roman"/>
                <w:b w:val="false"/>
                <w:sz w:val="26"/>
              </w:rPr>
              <w:t>31-12-2008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107/2016/NĐ-CP</w:t>
            </w:r>
          </w:p>
        </w:tc>
        <w:tc>
          <w:p/>
          <w:p>
            <w:pPr>
              <w:spacing w:after="0" w:before="0" w:lineRule="auto" w:line="276"/>
              <w:jc w:val="left"/>
            </w:pPr>
            <w:r>
              <w:rPr>
                <w:rFonts w:ascii="Times New Roman" w:hAnsi="Times New Roman" w:cs="Times New Roman" w:eastAsia="Times New Roman"/>
                <w:b w:val="false"/>
                <w:sz w:val="26"/>
              </w:rPr>
              <w:t>Nghị định Quy định về điều kiện kinh doanh dịch vụ đánh giá sự phù hợp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28/2017/TT-BCT</w:t>
            </w:r>
          </w:p>
        </w:tc>
        <w:tc>
          <w:p/>
          <w:p>
            <w:pPr>
              <w:spacing w:after="0" w:before="0" w:lineRule="auto" w:line="276"/>
              <w:jc w:val="left"/>
            </w:pPr>
            <w:r>
              <w:rPr>
                <w:rFonts w:ascii="Times New Roman" w:hAnsi="Times New Roman" w:cs="Times New Roman" w:eastAsia="Times New Roman"/>
                <w:b w:val="false"/>
                <w:sz w:val="26"/>
              </w:rPr>
              <w:t>Thông tư Sửa đổi, bổ sung, bãi bỏ một số Thông tư trong lĩnh vực kinh doanh xăng dầu, kinh doanh dịch vụ đánh giá sự phù hợp và xuất nhập khẩu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08-12-2017</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kiện đối với tổ chức thử nghiệm được chỉ định
a) Đã được cấp giấy chứng nhận đăng ký hoạt động thử nghiệm theo quy định tại Nghị định số 107/2016/NĐ-CP, trong đó có lĩnh vực thử nghiệm đăng ký chỉ định;
b) Phải thực hiện việc thử nghiệm thành thạo hoặc so sánh liên phòng đối với phương pháp thử của sản phẩm, hàng hóa đăng ký chỉ định.
Đối với các phép thử chưa có điều kiện để thử nghiệm thành thạo hoặc so sánh liên phòng thì phải bổ sung hồ sơ phương pháp thử, xác nhận giá trị sử dụng của phương pháp thử và chất chuẩn để kiểm soát chất lượng thử nghiệm.
2. Điều kiện đối với tổ chức kiểm định, giám định, chứng nhận được chỉ định
Đã được cấp giấy chứng nhận đăng ký hoạt động kiểm định, giám định, chứng nhận theo quy định tại Nghị định số 107/2016/NĐ-CP , trong đó có lĩnh vực kiểm định, giám định, chứng nhận đăng ký chỉ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https://thutuc.dichvucong.gov.vn/p/home/dvc-tthc-thu-tuc-hanh-chinh-chi-tiet.html?ma_thu_tuc=521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2025-11-27T16:19:15Z</dcterms:created>
  <dc:creator>Apache POI</dc:creator>
</cp:coreProperties>
</file>