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2.000148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315/QĐ-BNV</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Hỗ trợ tư vấn, giới thiệu việc làm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Việc làm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Người lao động làm việc theo hợp đồng lao động/hợp đồng làm việc đang đóng bảo hiểm thất nghiệp bị chấm dứt hợp đồng lao động hoặc hợp đồng làm việc mà có nhu cầu tìm kiếm việc làm được tư vấn, giới thiệu việc làm miễn phí thông qua trung tâm dịch vụ việc làm.
- Bước 2: Người lao động ghi đầy đủ các thông tin vào phiếu tư vấn, giới thiệu việc làm theo Mẫu số 01 ban hành kèm theo Thông tư số 15/2023/TT-BLĐTBXH và nộp trực tiếp cho trung tâm dịch vụ việc làm.
- Bước 3: Trung tâm dịch vụ việc làm có trách nhiệm tiếp nhận phiếu tư vấn, giới thiệu việc làm và căn cứ vào nhu cầu, khả năng của người lao động, nhu cầu tuyển lao động của người sử dụng lao động để kết nối việc làm phù hợp với người lao động.
- Bước 4: Trung tâm dịch vụ việc làm gửi cho người lao động phiếu giới thiệu việc làm theo Mẫu số 02 ban hành kèm theo Thông tư số 15/2023/TT-BLĐTBXH và có trách nhiệm theo dõi kết quả dự tuyển lao động để kịp thời hỗ trợ người lao động.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Người lao động phải trực tiếp nộp phiếu tư vấn, giới thiệu việc làm tại trung tâm dịch vụ việc làm và được tư vấn, giới thiệu việc làm trực tiếp.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tư vấn, giới thiệu việc làm theo Mẫu số 01 ban hành kèm theo Thông tư số 15/2023/TT-BLĐTBXH</w:t>
            </w:r>
          </w:p>
        </w:tc>
        <w:tc>
          <w:p/>
          <w:p>
            <w:pPr>
              <w:spacing w:after="0" w:before="0" w:lineRule="auto" w:line="276"/>
              <w:jc w:val="left"/>
            </w:pPr>
            <w:r>
              <w:rPr>
                <w:rFonts w:ascii="Times New Roman" w:hAnsi="Times New Roman" w:cs="Times New Roman" w:eastAsia="Times New Roman"/>
                <w:b w:val="false"/>
                <w:sz w:val="26"/>
              </w:rPr>
              <w:t>9.Mus01BanhnhkmtheoThngts152023.docx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Dịch vụ việc làm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Trung tâm dịch vụ việc làm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Người lao động được tư vấn, giới thiệu việc làm miễn phí.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38/2013/QH13</w:t>
            </w:r>
          </w:p>
        </w:tc>
        <w:tc>
          <w:p/>
          <w:p>
            <w:pPr>
              <w:spacing w:after="0" w:before="0" w:lineRule="auto" w:line="276"/>
              <w:jc w:val="left"/>
            </w:pPr>
            <w:r>
              <w:rPr>
                <w:rFonts w:ascii="Times New Roman" w:hAnsi="Times New Roman" w:cs="Times New Roman" w:eastAsia="Times New Roman"/>
                <w:b w:val="false"/>
                <w:sz w:val="26"/>
              </w:rPr>
              <w:t>LUẬT  Việc làm</w:t>
            </w:r>
          </w:p>
        </w:tc>
        <w:tc>
          <w:p/>
          <w:p>
            <w:pPr>
              <w:spacing w:after="0" w:before="0" w:lineRule="auto" w:line="276"/>
              <w:jc w:val="left"/>
            </w:pPr>
            <w:r>
              <w:rPr>
                <w:rFonts w:ascii="Times New Roman" w:hAnsi="Times New Roman" w:cs="Times New Roman" w:eastAsia="Times New Roman"/>
                <w:b w:val="false"/>
                <w:sz w:val="26"/>
              </w:rPr>
              <w:t>16-11-2013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28/2015/NĐ-CP</w:t>
            </w:r>
          </w:p>
        </w:tc>
        <w:tc>
          <w:p/>
          <w:p>
            <w:pPr>
              <w:spacing w:after="0" w:before="0" w:lineRule="auto" w:line="276"/>
              <w:jc w:val="left"/>
            </w:pPr>
            <w:r>
              <w:rPr>
                <w:rFonts w:ascii="Times New Roman" w:hAnsi="Times New Roman" w:cs="Times New Roman" w:eastAsia="Times New Roman"/>
                <w:b w:val="false"/>
                <w:sz w:val="26"/>
              </w:rPr>
              <w:t>NGHỊ ĐỊNH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12-03-2015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28/2015/TT-BLĐTBXH</w:t>
            </w:r>
          </w:p>
        </w:tc>
        <w:tc>
          <w:p/>
          <w:p>
            <w:pPr>
              <w:spacing w:after="0" w:before="0" w:lineRule="auto" w:line="276"/>
              <w:jc w:val="left"/>
            </w:pPr>
            <w:r>
              <w:rPr>
                <w:rFonts w:ascii="Times New Roman" w:hAnsi="Times New Roman" w:cs="Times New Roman" w:eastAsia="Times New Roman"/>
                <w:b w:val="false"/>
                <w:sz w:val="26"/>
              </w:rPr>
              <w:t>THÔNG TƯ  Hướng dẫn thực hiện Điều 52 của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31-07-2015</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190/2025/NQ-QH15</w:t>
            </w:r>
          </w:p>
        </w:tc>
        <w:tc>
          <w:p/>
          <w:p>
            <w:pPr>
              <w:spacing w:after="0" w:before="0" w:lineRule="auto" w:line="276"/>
              <w:jc w:val="left"/>
            </w:pPr>
            <w:r>
              <w:rPr>
                <w:rFonts w:ascii="Times New Roman" w:hAnsi="Times New Roman" w:cs="Times New Roman" w:eastAsia="Times New Roman"/>
                <w:b w:val="false"/>
                <w:sz w:val="26"/>
              </w:rPr>
              <w:t>Nghị quyết số 190/2025/QH15 của Quốc hội: Quy định về xử lý một số vấn đề liên quan đến sắp xếp tổ chức bộ máy nhà nước</w:t>
            </w:r>
          </w:p>
        </w:tc>
        <w:tc>
          <w:p/>
          <w:p>
            <w:pPr>
              <w:spacing w:after="0" w:before="0" w:lineRule="auto" w:line="276"/>
              <w:jc w:val="left"/>
            </w:pPr>
            <w:r>
              <w:rPr>
                <w:rFonts w:ascii="Times New Roman" w:hAnsi="Times New Roman" w:cs="Times New Roman" w:eastAsia="Times New Roman"/>
                <w:b w:val="false"/>
                <w:sz w:val="26"/>
              </w:rPr>
              <w:t>19-02-2025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61/2020/NĐ-CP</w:t>
            </w:r>
          </w:p>
        </w:tc>
        <w:tc>
          <w:p/>
          <w:p>
            <w:pPr>
              <w:spacing w:after="0" w:before="0" w:lineRule="auto" w:line="276"/>
              <w:jc w:val="left"/>
            </w:pPr>
            <w:r>
              <w:rPr>
                <w:rFonts w:ascii="Times New Roman" w:hAnsi="Times New Roman" w:cs="Times New Roman" w:eastAsia="Times New Roman"/>
                <w:b w:val="false"/>
                <w:sz w:val="26"/>
              </w:rPr>
              <w:t>Nghị định 61/2020/NĐ-CP</w:t>
            </w:r>
          </w:p>
        </w:tc>
        <w:tc>
          <w:p/>
          <w:p>
            <w:pPr>
              <w:spacing w:after="0" w:before="0" w:lineRule="auto" w:line="276"/>
              <w:jc w:val="left"/>
            </w:pPr>
            <w:r>
              <w:rPr>
                <w:rFonts w:ascii="Times New Roman" w:hAnsi="Times New Roman" w:cs="Times New Roman" w:eastAsia="Times New Roman"/>
                <w:b w:val="false"/>
                <w:sz w:val="26"/>
              </w:rPr>
              <w:t>29-05-2020</w:t>
            </w:r>
          </w:p>
        </w:tc>
        <w:tc>
          <w:p/>
        </w:tc>
      </w:tr>
      <w:tr>
        <w:tc>
          <w:p/>
          <w:p>
            <w:pPr>
              <w:spacing w:after="0" w:before="0" w:lineRule="auto" w:line="276"/>
              <w:jc w:val="left"/>
            </w:pPr>
            <w:r>
              <w:rPr>
                <w:rFonts w:ascii="Times New Roman" w:hAnsi="Times New Roman" w:cs="Times New Roman" w:eastAsia="Times New Roman"/>
                <w:b w:val="false"/>
                <w:sz w:val="26"/>
              </w:rPr>
              <w:t>15/2023/TT-BLĐTBXH</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28/2015/TT-BLĐTBXH ngày 31 tháng 7 năm 2015 hướng dẫn thực hiện Điều 52 Luật Việc làm và một số điều của Nghị định số 28/2015/NĐ-CP ngày 12 tháng 3 năm 2015 của Chính phủ quy định chi tiết thi hành một số điều của Luật Việc làm về bảo hiểm thất nghiệp</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Bộ Lao động - Thương binh và Xã hội</w:t>
            </w:r>
          </w:p>
        </w:tc>
      </w:tr>
      <w:tr>
        <w:tc>
          <w:p/>
          <w:p>
            <w:pPr>
              <w:spacing w:after="0" w:before="0" w:lineRule="auto" w:line="276"/>
              <w:jc w:val="left"/>
            </w:pPr>
            <w:r>
              <w:rPr>
                <w:rFonts w:ascii="Times New Roman" w:hAnsi="Times New Roman" w:cs="Times New Roman" w:eastAsia="Times New Roman"/>
                <w:b w:val="false"/>
                <w:sz w:val="26"/>
              </w:rPr>
              <w:t>Nghị định số 25/2025/NĐ-CP</w:t>
            </w:r>
          </w:p>
        </w:tc>
        <w:tc>
          <w:p/>
          <w:p>
            <w:pPr>
              <w:spacing w:after="0" w:before="0" w:lineRule="auto" w:line="276"/>
              <w:jc w:val="left"/>
            </w:pPr>
            <w:r>
              <w:rPr>
                <w:rFonts w:ascii="Times New Roman" w:hAnsi="Times New Roman" w:cs="Times New Roman" w:eastAsia="Times New Roman"/>
                <w:b w:val="false"/>
                <w:sz w:val="26"/>
              </w:rPr>
              <w:t>Nghị định số 25/2025/NĐ-CP ngày 21 tháng 02 năm 2025 của Chính phủ quy định chức năng, nhiệm vụ, quyền hạn và cơ cấu tổ chức của Bộ Nội vụ</w:t>
            </w:r>
          </w:p>
        </w:tc>
        <w:tc>
          <w:p/>
          <w:p>
            <w:pPr>
              <w:spacing w:after="0" w:before="0" w:lineRule="auto" w:line="276"/>
              <w:jc w:val="left"/>
            </w:pPr>
            <w:r>
              <w:rPr>
                <w:rFonts w:ascii="Times New Roman" w:hAnsi="Times New Roman" w:cs="Times New Roman" w:eastAsia="Times New Roman"/>
                <w:b w:val="false"/>
                <w:sz w:val="26"/>
              </w:rPr>
              <w:t>21-02-2025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45/2025/NĐ-CP</w:t>
            </w:r>
          </w:p>
        </w:tc>
        <w:tc>
          <w:p/>
          <w:p>
            <w:pPr>
              <w:spacing w:after="0" w:before="0" w:lineRule="auto" w:line="276"/>
              <w:jc w:val="left"/>
            </w:pPr>
            <w:r>
              <w:rPr>
                <w:rFonts w:ascii="Times New Roman" w:hAnsi="Times New Roman" w:cs="Times New Roman" w:eastAsia="Times New Roman"/>
                <w:b w:val="false"/>
                <w:sz w:val="26"/>
              </w:rPr>
              <w:t>Nghị định số 45/2025/NĐ-CP của Chính phủ: Quy định tổ chức các cơ quan chuyên môn thuộc Ủy ban nhân dân tỉnh, thành phố trực thuộc trung ương và Ủy ban nhân dân huyện, quận, thị xã, thành phố thuộc tỉnh, thành phố thuộc thành phố trực thuộc trung ương</w:t>
            </w:r>
          </w:p>
        </w:tc>
        <w:tc>
          <w:p/>
          <w:p>
            <w:pPr>
              <w:spacing w:after="0" w:before="0" w:lineRule="auto" w:line="276"/>
              <w:jc w:val="left"/>
            </w:pPr>
            <w:r>
              <w:rPr>
                <w:rFonts w:ascii="Times New Roman" w:hAnsi="Times New Roman" w:cs="Times New Roman" w:eastAsia="Times New Roman"/>
                <w:b w:val="false"/>
                <w:sz w:val="26"/>
              </w:rPr>
              <w:t>28-02-2025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lao động đang đóng bảo hiểm thất nghiệp bị chấm dứt hợp đồng lao động hoặc hợp đồng làm việc có nhu cầu tìm kiếm việc làm, bao gồm:
- Hợp đồng lao động hoặc hợp đồng làm việc không xác định thời hạn;
- Hợp đồng lao động hoặc hợp đồng làm việc xác định thời hạn;
- Hợp đồng lao động mùa vụ hoặc theo một công việc nhất định có thời hạn từ đủ 03 tháng đến dưới 12 tháng.
Trong trường hợp người lao động giao kết và đang thực hiện nhiều hợp đồng lao động quy định trên thì người lao động và người sử dụng lao động của hợp đồng lao động giao kết đầu tiên có trách nhiệm tham gia bảo hiểm thất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2025-11-27T16:19:16Z</dcterms:created>
  <dc:creator>Apache POI</dc:creator>
</cp:coreProperties>
</file>