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cấp lại do hết thời hạn hiệu lực:
Đối với trường hợp Giấy phép bán lẻ sản phẩm thuốc lá đã được cấp hết thời hạn hiệu lực, trước thời điểm hết hiệu lực của giấy phép 30 ngày, thương nhân bán lẻ sản phẩm thuốc lá nộp hồ sơ xin cấp lại giấy phép trong trường hợp tiếp tục kinh doanh đến Uỷ ban nhân dân cấp xã nơi đặt trụ sở chính. Hồ sơ, trình tự thủ tục cấp lại như đối với trường hợp cấp mới.
* Trường hợp cấp lại giấy phép do bị mất, bị tiêu hủy toàn bộ hoặc một phần, bị rách, nát hoặc bị cháy:
- Thương nhân được cấp phép phải lập, nộp 01 bộ hồ sơ đề nghị cấp lại tới Ủy ban nhân dân cấp xã nơi đặt trụ sở chính. 
- Trong thời hạn 15 ngày làm việc kể từ ngày nhận đủ hồ sơ hợp lệ, Ủy ban nhân dân cấp xã xem xét và cấp lại Giấy phép bán lẻ sản phẩm thuốc lá. 
- Trường hợp tổ chức, cá nhân không đáp ứng được điều kiện theo quy định, cơ quan có thẩm quyền cấp phép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Giấy phép kinh doanh bán lẻ sản phẩm rượu bị mất, bị tiêu hủy toàn bộ hoặc một phần, bị rách, nát hoặc bị cháy: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Bản sao Giấy phép bán lẻ sản phẩm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cấp lại</w:t>
            </w:r>
          </w:p>
        </w:tc>
        <w:tc>
          <w:p/>
          <w:p>
            <w:pPr>
              <w:spacing w:after="0" w:before="0" w:lineRule="auto" w:line="276"/>
              <w:jc w:val="left"/>
            </w:pPr>
            <w:r>
              <w:rPr>
                <w:rFonts w:ascii="Times New Roman" w:hAnsi="Times New Roman" w:cs="Times New Roman" w:eastAsia="Times New Roman"/>
                <w:b w:val="false"/>
                <w:sz w:val="26"/>
              </w:rPr>
              <w:t>MaucaplaiTL.docx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cấp lại Giấy phép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thẩm quyền, trình tự, thủ tục cấp lại đối với quy định tại khoản này áp dụng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85/2025/NĐ-CP</w:t>
            </w:r>
          </w:p>
        </w:tc>
        <w:tc>
          <w:p/>
          <w:p>
            <w:pPr>
              <w:spacing w:after="0" w:before="0" w:lineRule="auto" w:line="276"/>
              <w:jc w:val="left"/>
            </w:pPr>
            <w:r>
              <w:rPr>
                <w:rFonts w:ascii="Times New Roman" w:hAnsi="Times New Roman" w:cs="Times New Roman" w:eastAsia="Times New Roman"/>
                <w:b w:val="false"/>
                <w:sz w:val="26"/>
              </w:rPr>
              <w:t>Nghị định số 85/2025/NĐ-CP ngày 08/4/2025 của Chính phủ quy định chi tiết thi hành một số điều của Luật Đầu tư công</w:t>
            </w:r>
          </w:p>
        </w:tc>
        <w:tc>
          <w:p/>
          <w:p>
            <w:pPr>
              <w:spacing w:after="0" w:before="0" w:lineRule="auto" w:line="276"/>
              <w:jc w:val="left"/>
            </w:pPr>
            <w:r>
              <w:rPr>
                <w:rFonts w:ascii="Times New Roman" w:hAnsi="Times New Roman" w:cs="Times New Roman" w:eastAsia="Times New Roman"/>
                <w:b w:val="false"/>
                <w:sz w:val="26"/>
              </w:rPr>
              <w:t>08-04-2025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Thương nhân được thành lập theo quy định của pháp luật;
b) Địa điểm kinh doanh không vi phạm quy định về địa điểm không được bán thuốc lá theo quy định tại Khoản 2 Điều 25 (Bán thuốc lá) Luật Phòng, chống tác hại của thuốc lá năm 2012 ;
c) Có văn bản giới thiệu của các thương nhân phân phối hoặc thương nhân bán buôn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2025-11-27T16:19:18Z</dcterms:created>
  <dc:creator>Apache POI</dc:creator>
</cp:coreProperties>
</file>